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488" w:rsidRDefault="00902B12" w:rsidP="003D7488">
      <w:pPr>
        <w:rPr>
          <w:b/>
        </w:rPr>
      </w:pPr>
      <w:r>
        <w:rPr>
          <w:b/>
        </w:rPr>
        <w:t>Cvičná rozvaha 1.</w:t>
      </w:r>
    </w:p>
    <w:p w:rsidR="003D7488" w:rsidRDefault="003D7488" w:rsidP="003D7488">
      <w:pPr>
        <w:jc w:val="both"/>
      </w:pPr>
      <w:r>
        <w:t>Společnost AB, s.r.o., plátce DPH má k </w:t>
      </w:r>
      <w:proofErr w:type="gramStart"/>
      <w:r>
        <w:t>1.1.2025</w:t>
      </w:r>
      <w:proofErr w:type="gramEnd"/>
      <w:r>
        <w:t xml:space="preserve"> ve vlastnictví budovu v hodnotě 25 000 000Kč. Dále v knize pohledávek a závazků eviduje závazky z obchodních vztahů ve výši 1 370 000Kč a pohledávky za odběrateli ve výši 1 980 000Kč, pohledávky za zaměstnanci ve výši 42 000Kč. Disponuje hotovostí v pokladně ve výši 450 000Kč a drží ceniny ve výši 80 000Kč. Na bankovním účtu má peněžní prostředky ve výši 4 000 000Kč. U bankovní společnosti však eviduje krátkodobý úvěr ve výši 2 450 000Kč. Vůči zaměstnancům má nevyplacené mzdy ve výši 1 200 000Kč, zúčtování s institucemi ve výši 405 000Kč a zálohy na daně z příjmů za zaměstnance ve výši 150 000Kč. Dále eviduje nadměrný odpočet DPH ve výši 450 000Kč. Dle skladové evidence drží zboží v hodnotě 780 000Kč, materiál v hodnotě 890 000Kč. Dle inventárních karet je celková hodnota samostatných movitých věcí v podobě strojů a zařízení ve výši 5 600 000Kč.  </w:t>
      </w:r>
    </w:p>
    <w:p w:rsidR="003D7488" w:rsidRDefault="00902B12" w:rsidP="003D7488">
      <w:pPr>
        <w:rPr>
          <w:b/>
        </w:rPr>
      </w:pPr>
      <w:r>
        <w:t xml:space="preserve">Úkol: </w:t>
      </w:r>
      <w:r w:rsidR="003D7488" w:rsidRPr="00902B12">
        <w:rPr>
          <w:b/>
        </w:rPr>
        <w:t>Sestavte rozv</w:t>
      </w:r>
      <w:r>
        <w:rPr>
          <w:b/>
        </w:rPr>
        <w:t>ahu a stanovte základní kapitál.</w:t>
      </w:r>
    </w:p>
    <w:p w:rsidR="00902B12" w:rsidRPr="00902B12" w:rsidRDefault="00902B12" w:rsidP="003D7488">
      <w:pPr>
        <w:rPr>
          <w:b/>
        </w:rPr>
      </w:pPr>
      <w:r>
        <w:rPr>
          <w:b/>
        </w:rPr>
        <w:t>(Základní kapitál by měl vyjít 33.697.000,- Kč)</w:t>
      </w:r>
      <w:bookmarkStart w:id="0" w:name="_GoBack"/>
      <w:bookmarkEnd w:id="0"/>
    </w:p>
    <w:p w:rsidR="003D7488" w:rsidRPr="00902B12" w:rsidRDefault="003D7488" w:rsidP="003D7488">
      <w:pPr>
        <w:rPr>
          <w:b/>
        </w:rPr>
      </w:pPr>
    </w:p>
    <w:sectPr w:rsidR="003D7488" w:rsidRPr="00902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96CAC"/>
    <w:multiLevelType w:val="hybridMultilevel"/>
    <w:tmpl w:val="5260966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488"/>
    <w:rsid w:val="0007762A"/>
    <w:rsid w:val="003D7488"/>
    <w:rsid w:val="0090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2341"/>
  <w15:chartTrackingRefBased/>
  <w15:docId w15:val="{C77F30AD-D4FF-484A-9379-E01B94E1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D7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Renáta Kondelíková</dc:creator>
  <cp:keywords/>
  <dc:description/>
  <cp:lastModifiedBy>Renáta Kondelíková</cp:lastModifiedBy>
  <cp:revision>2</cp:revision>
  <dcterms:created xsi:type="dcterms:W3CDTF">2025-12-22T09:46:00Z</dcterms:created>
  <dcterms:modified xsi:type="dcterms:W3CDTF">2026-03-22T16:08:00Z</dcterms:modified>
</cp:coreProperties>
</file>