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0582" w:rsidRPr="00657789" w:rsidRDefault="00657789">
      <w:pPr>
        <w:rPr>
          <w:b/>
        </w:rPr>
      </w:pPr>
      <w:r w:rsidRPr="00657789">
        <w:rPr>
          <w:b/>
        </w:rPr>
        <w:t>Cvičná rozvaha 2.</w:t>
      </w:r>
    </w:p>
    <w:p w:rsidR="00657789" w:rsidRDefault="00657789">
      <w:pPr>
        <w:rPr>
          <w:rStyle w:val="eop"/>
          <w:rFonts w:ascii="Calibri" w:hAnsi="Calibri" w:cs="Calibri"/>
          <w:color w:val="000000"/>
        </w:rPr>
      </w:pPr>
      <w:r>
        <w:rPr>
          <w:rStyle w:val="normaltextrun"/>
          <w:rFonts w:ascii="Calibri" w:hAnsi="Calibri" w:cs="Calibri"/>
          <w:color w:val="000000"/>
          <w:shd w:val="clear" w:color="auto" w:fill="FFFFFF"/>
        </w:rPr>
        <w:t>Společnost XY, s. r. o., je malá začínající společnost zabývající se poskytováním služeb. Do svého začátku podnikání nakoupila na sklad materiál v hodnotě 60 000 Kč, který však uhradila jen z jedné třetiny z bankovního účtu, na kterém je tedy zůstatek ve výši 500 000 Kč. Další neuhrazené faktury přijaté jsou ve výši 120 000 Kč, celkem tedy má závazky z obchodních vztahů ve výši 160 000 Kč. Eviduje dále stroje a zařízení v hodnotě 400 000 Kč. Hotovost ve výši 20 000 Kč, pohledávky za zaměstnanci ve výši 15 000 Kč a bankovní úvěr ve výši 300 000 Kč. Dílna se nachází ve vlastní budově v hodnotě 4 000 000 Kč, kde jsou skladové prostory, ve kterých je evidováno zboží v hodnotě 60 000 Kč. Dále eviduje nedoplatek na dani z přidané hodnoty ve výši 12 000 Kč. Společnost je plátcem DPH.</w:t>
      </w:r>
      <w:r>
        <w:rPr>
          <w:rStyle w:val="eop"/>
          <w:rFonts w:ascii="Calibri" w:hAnsi="Calibri" w:cs="Calibri"/>
          <w:color w:val="000000"/>
        </w:rPr>
        <w:t> </w:t>
      </w:r>
    </w:p>
    <w:p w:rsidR="00657789" w:rsidRDefault="00657789">
      <w:pPr>
        <w:rPr>
          <w:rStyle w:val="eop"/>
          <w:rFonts w:ascii="Calibri" w:hAnsi="Calibri" w:cs="Calibri"/>
          <w:b/>
          <w:color w:val="000000"/>
        </w:rPr>
      </w:pPr>
      <w:r w:rsidRPr="00657789">
        <w:rPr>
          <w:rStyle w:val="eop"/>
          <w:rFonts w:ascii="Calibri" w:hAnsi="Calibri" w:cs="Calibri"/>
          <w:b/>
          <w:color w:val="000000"/>
        </w:rPr>
        <w:t>Úkol: Sestavte rozvahu a určete výši základního kapitálu.</w:t>
      </w:r>
      <w:r>
        <w:rPr>
          <w:rStyle w:val="eop"/>
          <w:rFonts w:ascii="Calibri" w:hAnsi="Calibri" w:cs="Calibri"/>
          <w:b/>
          <w:color w:val="000000"/>
        </w:rPr>
        <w:t xml:space="preserve"> </w:t>
      </w:r>
    </w:p>
    <w:p w:rsidR="00657789" w:rsidRPr="00657789" w:rsidRDefault="00657789">
      <w:pPr>
        <w:rPr>
          <w:b/>
        </w:rPr>
      </w:pPr>
      <w:r>
        <w:rPr>
          <w:rStyle w:val="eop"/>
          <w:rFonts w:ascii="Calibri" w:hAnsi="Calibri" w:cs="Calibri"/>
          <w:b/>
          <w:color w:val="000000"/>
        </w:rPr>
        <w:t>(Řešení: základní kapitál by vám měl vyjít 4.583.000,- Kč)</w:t>
      </w:r>
      <w:bookmarkStart w:id="0" w:name="_GoBack"/>
      <w:bookmarkEnd w:id="0"/>
    </w:p>
    <w:sectPr w:rsidR="00657789" w:rsidRPr="006577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789"/>
    <w:rsid w:val="00657789"/>
    <w:rsid w:val="00F80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9B935"/>
  <w15:chartTrackingRefBased/>
  <w15:docId w15:val="{C122BF84-217E-48C3-BB3D-E5C80C2D5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ormaltextrun">
    <w:name w:val="normaltextrun"/>
    <w:basedOn w:val="Standardnpsmoodstavce"/>
    <w:rsid w:val="00657789"/>
  </w:style>
  <w:style w:type="character" w:customStyle="1" w:styleId="eop">
    <w:name w:val="eop"/>
    <w:basedOn w:val="Standardnpsmoodstavce"/>
    <w:rsid w:val="006577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134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Renáta Kondelíková</dc:creator>
  <cp:keywords/>
  <dc:description/>
  <cp:lastModifiedBy>Renáta Kondelíková</cp:lastModifiedBy>
  <cp:revision>1</cp:revision>
  <dcterms:created xsi:type="dcterms:W3CDTF">2026-03-22T15:54:00Z</dcterms:created>
  <dcterms:modified xsi:type="dcterms:W3CDTF">2026-03-22T16:02:00Z</dcterms:modified>
</cp:coreProperties>
</file>