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9edgnew7tq0" w:id="0"/>
      <w:bookmarkEnd w:id="0"/>
      <w:r w:rsidDel="00000000" w:rsidR="00000000" w:rsidRPr="00000000">
        <w:rPr>
          <w:rtl w:val="0"/>
        </w:rPr>
        <w:t xml:space="preserve">Credential Spraying Risk Mitigation Plan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tb1fmiw5bzp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Credential Spraying Risk Mitigation Plan aims to minimize the threat posed by credential spraying attacks through a set of preventive measures, detection strategies, and response protocols.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qqkgrig9uj0" w:id="2"/>
      <w:bookmarkEnd w:id="2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the likelihood of successful credential spraying attacks.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 the company’s ability to detect and respond to credential spraying attacks.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Strengthen authentication mechanisms to withstand credential spraying attacks.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Define requirements and increase employee awareness and training regarding credential hygiene and security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kls9twyx8cra" w:id="3"/>
      <w:bookmarkEnd w:id="3"/>
      <w:r w:rsidDel="00000000" w:rsidR="00000000" w:rsidRPr="00000000">
        <w:rPr>
          <w:rtl w:val="0"/>
        </w:rPr>
        <w:t xml:space="preserve">Success metrics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Reduction in successful credential spraying attacks by 90% within the first year.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Increase in employee awareness and adherence to password hygiene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k0afzc2dlfk3" w:id="4"/>
      <w:bookmarkEnd w:id="4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manager: oversees team and progress of the project, updates stakeholders and upper management on current status, next steps, and any support needed.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analysts: conduct risk assessments, draft password and account lockout policies, and design detection and response measures.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administrators: work with security analysts to implement mitigation strategies.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and education specialists: create credential hygiene and security awareness training.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3u7dloegnfq1" w:id="5"/>
      <w:bookmarkEnd w:id="5"/>
      <w:r w:rsidDel="00000000" w:rsidR="00000000" w:rsidRPr="00000000">
        <w:rPr>
          <w:rtl w:val="0"/>
        </w:rPr>
        <w:t xml:space="preserve">Scope and budget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Focus on securing all externally facing authentication portals and services.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Implementation of monitoring and detection mechanisms to identify suspicious authentication attempts.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Education and training initiatives for employees regarding password hygiene and recognizing phishing attempts.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vplriul3ka5c" w:id="6"/>
      <w:bookmarkEnd w:id="6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Phase 1: Risk Assessment and Planning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Conduct a comprehensive risk assessment to identify vulnerable authentication points.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Develop a detailed project plan outlining mitigation strategies, timelines, and responsibilities.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  <w:u w:val="none"/>
        </w:rPr>
      </w:pPr>
      <w:r w:rsidDel="00000000" w:rsidR="00000000" w:rsidRPr="00000000">
        <w:rPr>
          <w:color w:val="0d0d0d"/>
          <w:rtl w:val="0"/>
        </w:rPr>
        <w:t xml:space="preserve">Write strong password and account lockout policies.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Phase 2: Implementation of Preventive Measures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Deploy multi-factor authentication (MFA) across all external-facing systems and services.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Implement account lockout policies to prevent brute-force attacks.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Enforce strong password policies including regular password rotations and complexity requirements.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Implement IP-based blocking for suspicious login attempts.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Integrate threat intelligence feeds to proactively identify potential credential spraying campaigns.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Phase 3: Enhancing Detection and Response Capabilities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Implement real-time monitoring of authentication logs for anomalous activities.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Configure alerts for suspicious login patterns indicative of credential spraying.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Develop automated response mechanisms for immediate mitigation of detected attacks.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Establish an incident response plan specifically tailored for credential spraying incidents.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Phase 4: Employee Training and Awareness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Conduct regular security awareness training sessions focusing on password hygiene, phishing awareness, and recognizing suspicious activities.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Provide guidance on creating strong, unique passwords and avoiding password reuse.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Simulate credential spraying attacks to test employee response and effectiveness of security measures.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nintqrvxre36" w:id="7"/>
      <w:bookmarkEnd w:id="7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Completed risk assessment report.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Completed password and account lockout policies.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Configured monitoring and automated response mechanisms.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Documentation of employee training sessions and awareness materials.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jj6jq4sszq3b" w:id="8"/>
      <w:bookmarkEnd w:id="8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Phase 1: Risk Assessment and Planning (2 months)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Phase 2: Implementation of Preventive Measures (3 months)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Phase 3: Enhancing Detection and Response Capabilities (2 months)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color w:val="0d0d0d"/>
          <w:rtl w:val="0"/>
        </w:rPr>
        <w:t xml:space="preserve">Phase 4: Employee Training and Awareness (Ongoing, with initial sessions conducted within 1 month)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