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Password Policy</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This policy states [company name]’s password complexity, rotation, and retention policy. It is intended to be used on all services, both internal and external, as well as corporate and personal devices.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enforced on all devices in all contexts, company-owned or not.</w:t>
      </w:r>
    </w:p>
    <w:p w:rsidR="00000000" w:rsidDel="00000000" w:rsidP="00000000" w:rsidRDefault="00000000" w:rsidRPr="00000000" w14:paraId="00000006">
      <w:pPr>
        <w:pStyle w:val="Heading1"/>
        <w:rPr/>
      </w:pPr>
      <w:bookmarkStart w:colFirst="0" w:colLast="0" w:name="_heading=h.1fob9te" w:id="2"/>
      <w:bookmarkEnd w:id="2"/>
      <w:r w:rsidDel="00000000" w:rsidR="00000000" w:rsidRPr="00000000">
        <w:rPr>
          <w:rtl w:val="0"/>
        </w:rPr>
        <w:t xml:space="preserve">Length</w:t>
      </w:r>
    </w:p>
    <w:p w:rsidR="00000000" w:rsidDel="00000000" w:rsidP="00000000" w:rsidRDefault="00000000" w:rsidRPr="00000000" w14:paraId="00000007">
      <w:pPr>
        <w:rPr/>
      </w:pPr>
      <w:r w:rsidDel="00000000" w:rsidR="00000000" w:rsidRPr="00000000">
        <w:rPr>
          <w:rtl w:val="0"/>
        </w:rPr>
        <w:t xml:space="preserve">Passwords must be between 5 and 8 characters in length. To ensure an attacker remains unaware of our maximum password length, any characters beyond the first eight are silently discarded by the login screen.</w:t>
      </w:r>
    </w:p>
    <w:p w:rsidR="00000000" w:rsidDel="00000000" w:rsidP="00000000" w:rsidRDefault="00000000" w:rsidRPr="00000000" w14:paraId="00000008">
      <w:pPr>
        <w:pStyle w:val="Heading1"/>
        <w:rPr/>
      </w:pPr>
      <w:bookmarkStart w:colFirst="0" w:colLast="0" w:name="_heading=h.3znysh7" w:id="3"/>
      <w:bookmarkEnd w:id="3"/>
      <w:r w:rsidDel="00000000" w:rsidR="00000000" w:rsidRPr="00000000">
        <w:rPr>
          <w:rtl w:val="0"/>
        </w:rPr>
        <w:t xml:space="preserve">Character Set</w:t>
      </w:r>
    </w:p>
    <w:p w:rsidR="00000000" w:rsidDel="00000000" w:rsidP="00000000" w:rsidRDefault="00000000" w:rsidRPr="00000000" w14:paraId="00000009">
      <w:pPr>
        <w:pStyle w:val="Heading2"/>
        <w:rPr/>
      </w:pPr>
      <w:bookmarkStart w:colFirst="0" w:colLast="0" w:name="_heading=h.2et92p0" w:id="4"/>
      <w:bookmarkEnd w:id="4"/>
      <w:r w:rsidDel="00000000" w:rsidR="00000000" w:rsidRPr="00000000">
        <w:rPr>
          <w:rtl w:val="0"/>
        </w:rPr>
        <w:t xml:space="preserve">Valid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alphabetic characters of A through Z, both upper- and lower-case</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numbers 0-8, inclusive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Any symbol found on a standard US keyboard that is not listed in the “Invalid” section below</w:t>
      </w:r>
      <w:r w:rsidDel="00000000" w:rsidR="00000000" w:rsidRPr="00000000">
        <w:rPr>
          <w:rtl w:val="0"/>
        </w:rPr>
      </w:r>
    </w:p>
    <w:p w:rsidR="00000000" w:rsidDel="00000000" w:rsidP="00000000" w:rsidRDefault="00000000" w:rsidRPr="00000000" w14:paraId="0000000D">
      <w:pPr>
        <w:pStyle w:val="Heading2"/>
        <w:rPr/>
      </w:pPr>
      <w:bookmarkStart w:colFirst="0" w:colLast="0" w:name="_heading=h.tyjcwt" w:id="5"/>
      <w:bookmarkEnd w:id="5"/>
      <w:r w:rsidDel="00000000" w:rsidR="00000000" w:rsidRPr="00000000">
        <w:rPr>
          <w:rtl w:val="0"/>
        </w:rPr>
        <w:t xml:space="preserve">Invalid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space character</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Any file-delimiting character, such as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(dot) caricatures</w:t>
      </w:r>
    </w:p>
    <w:p w:rsidR="00000000" w:rsidDel="00000000" w:rsidP="00000000" w:rsidRDefault="00000000" w:rsidRPr="00000000" w14:paraId="00000011">
      <w:pPr>
        <w:pStyle w:val="Heading2"/>
        <w:rPr/>
      </w:pPr>
      <w:bookmarkStart w:colFirst="0" w:colLast="0" w:name="_heading=h.3dy6vkm" w:id="6"/>
      <w:bookmarkEnd w:id="6"/>
      <w:r w:rsidDel="00000000" w:rsidR="00000000" w:rsidRPr="00000000">
        <w:rPr>
          <w:rtl w:val="0"/>
        </w:rPr>
        <w:t xml:space="preserve">Enforcement</w:t>
      </w:r>
    </w:p>
    <w:p w:rsidR="00000000" w:rsidDel="00000000" w:rsidP="00000000" w:rsidRDefault="00000000" w:rsidRPr="00000000" w14:paraId="00000012">
      <w:pPr>
        <w:rPr/>
      </w:pPr>
      <w:r w:rsidDel="00000000" w:rsidR="00000000" w:rsidRPr="00000000">
        <w:rPr>
          <w:rtl w:val="0"/>
        </w:rPr>
        <w:t xml:space="preserve">To avoid undue pain to our users, Javascript within the login page will validate all characters and enforce all rules, simplifying backend operations by not requiring further validation and enforcement logic to be written.</w:t>
      </w:r>
    </w:p>
    <w:p w:rsidR="00000000" w:rsidDel="00000000" w:rsidP="00000000" w:rsidRDefault="00000000" w:rsidRPr="00000000" w14:paraId="00000013">
      <w:pPr>
        <w:pStyle w:val="Heading1"/>
        <w:rPr/>
      </w:pPr>
      <w:bookmarkStart w:colFirst="0" w:colLast="0" w:name="_heading=h.1t3h5sf" w:id="7"/>
      <w:bookmarkEnd w:id="7"/>
      <w:r w:rsidDel="00000000" w:rsidR="00000000" w:rsidRPr="00000000">
        <w:rPr>
          <w:rtl w:val="0"/>
        </w:rPr>
        <w:t xml:space="preserve">Complexity</w:t>
      </w:r>
    </w:p>
    <w:p w:rsidR="00000000" w:rsidDel="00000000" w:rsidP="00000000" w:rsidRDefault="00000000" w:rsidRPr="00000000" w14:paraId="00000014">
      <w:pPr>
        <w:rPr/>
      </w:pPr>
      <w:r w:rsidDel="00000000" w:rsidR="00000000" w:rsidRPr="00000000">
        <w:rPr>
          <w:rtl w:val="0"/>
        </w:rPr>
        <w:t xml:space="preserve">Passwords must contain at least one character from each of these categories: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Symbols</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Numbers</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Capital letters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Additionally, no grouping of more than three consecutive characters can be from the same category. For example,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is accetable but </w:t>
      </w:r>
      <w:r w:rsidDel="00000000" w:rsidR="00000000" w:rsidRPr="00000000">
        <w:rPr>
          <w:rFonts w:ascii="Courier New" w:cs="Courier New" w:eastAsia="Courier New" w:hAnsi="Courier New"/>
          <w:rtl w:val="0"/>
        </w:rPr>
        <w:t xml:space="preserve">cats</w:t>
      </w:r>
      <w:r w:rsidDel="00000000" w:rsidR="00000000" w:rsidRPr="00000000">
        <w:rPr>
          <w:rtl w:val="0"/>
        </w:rPr>
        <w:t xml:space="preserve"> is not. As another example, </w:t>
      </w:r>
      <w:r w:rsidDel="00000000" w:rsidR="00000000" w:rsidRPr="00000000">
        <w:rPr>
          <w:rFonts w:ascii="Courier New" w:cs="Courier New" w:eastAsia="Courier New" w:hAnsi="Courier New"/>
          <w:rtl w:val="0"/>
        </w:rPr>
        <w:t xml:space="preserve">123</w:t>
      </w:r>
      <w:r w:rsidDel="00000000" w:rsidR="00000000" w:rsidRPr="00000000">
        <w:rPr>
          <w:rtl w:val="0"/>
        </w:rPr>
        <w:t xml:space="preserve"> is acceptable but </w:t>
      </w:r>
      <w:r w:rsidDel="00000000" w:rsidR="00000000" w:rsidRPr="00000000">
        <w:rPr>
          <w:rFonts w:ascii="Courier New" w:cs="Courier New" w:eastAsia="Courier New" w:hAnsi="Courier New"/>
          <w:rtl w:val="0"/>
        </w:rPr>
        <w:t xml:space="preserve">1234</w:t>
      </w:r>
      <w:r w:rsidDel="00000000" w:rsidR="00000000" w:rsidRPr="00000000">
        <w:rPr>
          <w:rtl w:val="0"/>
        </w:rPr>
        <w:t xml:space="preserve"> is not.</w:t>
      </w:r>
    </w:p>
    <w:p w:rsidR="00000000" w:rsidDel="00000000" w:rsidP="00000000" w:rsidRDefault="00000000" w:rsidRPr="00000000" w14:paraId="0000001A">
      <w:pPr>
        <w:pStyle w:val="Heading1"/>
        <w:rPr/>
      </w:pPr>
      <w:bookmarkStart w:colFirst="0" w:colLast="0" w:name="_heading=h.4d34og8" w:id="8"/>
      <w:bookmarkEnd w:id="8"/>
      <w:r w:rsidDel="00000000" w:rsidR="00000000" w:rsidRPr="00000000">
        <w:rPr>
          <w:rtl w:val="0"/>
        </w:rPr>
        <w:t xml:space="preserve">Rotation</w:t>
      </w:r>
    </w:p>
    <w:p w:rsidR="00000000" w:rsidDel="00000000" w:rsidP="00000000" w:rsidRDefault="00000000" w:rsidRPr="00000000" w14:paraId="0000001B">
      <w:pPr>
        <w:rPr/>
      </w:pPr>
      <w:r w:rsidDel="00000000" w:rsidR="00000000" w:rsidRPr="00000000">
        <w:rPr>
          <w:rtl w:val="0"/>
        </w:rPr>
        <w:t xml:space="preserve">Passwords must be updated every 30 days. To avoid attackers being aware of this security measure, users will be provided with no warning and locked out on the 31st day, requiring a “magic link” sent to their corporate email account to facilitate a reset. This will be clearly explained during an employee’s onboarding process.</w:t>
      </w:r>
    </w:p>
    <w:p w:rsidR="00000000" w:rsidDel="00000000" w:rsidP="00000000" w:rsidRDefault="00000000" w:rsidRPr="00000000" w14:paraId="0000001C">
      <w:pPr>
        <w:pStyle w:val="Heading1"/>
        <w:rPr/>
      </w:pPr>
      <w:bookmarkStart w:colFirst="0" w:colLast="0" w:name="_heading=h.2s8eyo1" w:id="9"/>
      <w:bookmarkEnd w:id="9"/>
      <w:r w:rsidDel="00000000" w:rsidR="00000000" w:rsidRPr="00000000">
        <w:rPr>
          <w:rtl w:val="0"/>
        </w:rPr>
        <w:t xml:space="preserve">Retention</w:t>
      </w:r>
    </w:p>
    <w:p w:rsidR="00000000" w:rsidDel="00000000" w:rsidP="00000000" w:rsidRDefault="00000000" w:rsidRPr="00000000" w14:paraId="0000001D">
      <w:pPr>
        <w:rPr/>
      </w:pPr>
      <w:r w:rsidDel="00000000" w:rsidR="00000000" w:rsidRPr="00000000">
        <w:rPr>
          <w:rtl w:val="0"/>
        </w:rPr>
        <w:t xml:space="preserve">None of a user’s previous 10000 passwords can be reused.</w:t>
      </w:r>
    </w:p>
    <w:p w:rsidR="00000000" w:rsidDel="00000000" w:rsidP="00000000" w:rsidRDefault="00000000" w:rsidRPr="00000000" w14:paraId="0000001E">
      <w:pPr>
        <w:pStyle w:val="Heading1"/>
        <w:rPr/>
      </w:pPr>
      <w:bookmarkStart w:colFirst="0" w:colLast="0" w:name="_heading=h.17dp8vu" w:id="10"/>
      <w:bookmarkEnd w:id="10"/>
      <w:r w:rsidDel="00000000" w:rsidR="00000000" w:rsidRPr="00000000">
        <w:rPr>
          <w:rtl w:val="0"/>
        </w:rPr>
        <w:t xml:space="preserve">Other Requirements</w:t>
      </w:r>
    </w:p>
    <w:p w:rsidR="00000000" w:rsidDel="00000000" w:rsidP="00000000" w:rsidRDefault="00000000" w:rsidRPr="00000000" w14:paraId="0000001F">
      <w:pPr>
        <w:rPr/>
      </w:pPr>
      <w:r w:rsidDel="00000000" w:rsidR="00000000" w:rsidRPr="00000000">
        <w:rPr>
          <w:rtl w:val="0"/>
        </w:rPr>
        <w:t xml:space="preserve">To further enhance our security, all login sessions will be limited to 30 minutes of total time and five minutes of idle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three failed login attempts, the user is locked out of all services and must use a “magic link” delivered to their corporate email account to reset their password, in full compliance with all the requirements listed above.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Due to business efficiency concerns, all field employees who use company-owned devices, such as power line technicians, substation employees, mobile repair trucks, and similar, are exempt from all of these requirements to ensure they can quickly and easily reach data critical to their safety.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bHrE3v5uO1u9gRe284ggiaP6Q==">CgMxLjAyCGguZ2pkZ3hzMgloLjMwajB6bGwyCWguMWZvYjl0ZTIJaC4zem55c2g3MgloLjJldDkycDAyCGgudHlqY3d0MgloLjNkeTZ2a20yCWguMXQzaDVzZjIJaC40ZDM0b2c4MgloLjJzOGV5bzEyCWguMTdkcDh2dTgAciExeW9YT0VPejh5MHRkUThwYWVyQ1FTUTlYWGNaSTRXaFY=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