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Benchmark ve Maliyet Karşılaştırma Raporu</w:t>
      </w:r>
    </w:p>
    <w:p>
      <w:pPr>
        <w:jc w:val="center"/>
      </w:pPr>
      <w:r>
        <w:rPr>
          <w:i/>
        </w:rPr>
        <w:t>Interpolasyon, XGBoost ve FT-Transformer runtime / doğruluk / kaynak kullanımı özeti</w:t>
      </w:r>
    </w:p>
    <w:p>
      <w:pPr>
        <w:jc w:val="center"/>
      </w:pPr>
      <w:r>
        <w:t>Run ID: 20260512_202308 | Ölçüm: 2026-05-12 17:23 UTC | Ortam: WSL2 x86_64</w:t>
      </w:r>
    </w:p>
    <w:p>
      <w:pPr>
        <w:pStyle w:val="Heading1"/>
      </w:pPr>
      <w:r>
        <w:t>1. Yönetici Özeti</w:t>
      </w:r>
    </w:p>
    <w:p>
      <w:r>
        <w:t>Bu rapor, Flask arayüzünde kullanılan gerçek prediction yolundan alınan benchmark ölçümlerini özetler. Ölçüm üç yöntemi kapsar: Interpolasyon, XGBoost ve FT-Transformer. Interpolasyon uygulamada reference/tahmini gerçek değer ailesi olarak konumlandığı için doğruluk yarışına dahil edilmez; ancak latency, RAM, CPU ve boyut maliyeti açısından izlenir.</w:t>
      </w:r>
    </w:p>
    <w:p>
      <w:r>
        <w:t>Bu ölçümde XGBoost hem hız hem doğruluk tarafında en dengeli adaydır. FT-Transformer daha küçük model dosyasına sahip olsa da bu artifact ile RAM kullanımı daha yüksek ve doğruluk metrikleri XGBoost'un gerisindedir. Interpolasyon cache optimizasyonundan sonra p95 gecikme açısından kabul edilebilir seviyeye inmiştir.</w:t>
      </w:r>
    </w:p>
    <w:p>
      <w:pPr>
        <w:pStyle w:val="Heading1"/>
      </w:pPr>
      <w:r>
        <w:t>2. Ölçüm Koşulları</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20"/>
            </w:pPr>
            <w:r>
              <w:t>Alan</w:t>
            </w:r>
          </w:p>
        </w:tc>
        <w:tc>
          <w:tcPr>
            <w:tcW w:type="dxa" w:w="5112"/>
            <w:vAlign w:val="center"/>
          </w:tcPr>
          <w:p>
            <w:pPr>
              <w:spacing w:after="20"/>
            </w:pPr>
            <w:r>
              <w:t>Değer</w:t>
            </w:r>
          </w:p>
        </w:tc>
      </w:tr>
      <w:tr>
        <w:tc>
          <w:tcPr>
            <w:tcW w:type="dxa" w:w="5112"/>
            <w:vAlign w:val="center"/>
          </w:tcPr>
          <w:p>
            <w:pPr>
              <w:spacing w:after="20"/>
            </w:pPr>
            <w:r>
              <w:t>Platform</w:t>
            </w:r>
          </w:p>
        </w:tc>
        <w:tc>
          <w:tcPr>
            <w:tcW w:type="dxa" w:w="5112"/>
            <w:vAlign w:val="center"/>
          </w:tcPr>
          <w:p>
            <w:pPr>
              <w:spacing w:after="20"/>
            </w:pPr>
            <w:r>
              <w:t>WSL2 x86_64, Linux 6.6, Python 3.12.13</w:t>
            </w:r>
          </w:p>
        </w:tc>
      </w:tr>
      <w:tr>
        <w:tc>
          <w:tcPr>
            <w:tcW w:type="dxa" w:w="5112"/>
            <w:vAlign w:val="center"/>
          </w:tcPr>
          <w:p>
            <w:pPr>
              <w:spacing w:after="20"/>
            </w:pPr>
            <w:r>
              <w:t>CPU</w:t>
            </w:r>
          </w:p>
        </w:tc>
        <w:tc>
          <w:tcPr>
            <w:tcW w:type="dxa" w:w="5112"/>
            <w:vAlign w:val="center"/>
          </w:tcPr>
          <w:p>
            <w:pPr>
              <w:spacing w:after="20"/>
            </w:pPr>
            <w:r>
              <w:t>8 fiziksel / 16 mantıksal</w:t>
            </w:r>
          </w:p>
        </w:tc>
      </w:tr>
      <w:tr>
        <w:tc>
          <w:tcPr>
            <w:tcW w:type="dxa" w:w="5112"/>
            <w:vAlign w:val="center"/>
          </w:tcPr>
          <w:p>
            <w:pPr>
              <w:spacing w:after="20"/>
            </w:pPr>
            <w:r>
              <w:t>RAM</w:t>
            </w:r>
          </w:p>
        </w:tc>
        <w:tc>
          <w:tcPr>
            <w:tcW w:type="dxa" w:w="5112"/>
            <w:vAlign w:val="center"/>
          </w:tcPr>
          <w:p>
            <w:pPr>
              <w:spacing w:after="20"/>
            </w:pPr>
            <w:r>
              <w:t>15844 MB</w:t>
            </w:r>
          </w:p>
        </w:tc>
      </w:tr>
      <w:tr>
        <w:tc>
          <w:tcPr>
            <w:tcW w:type="dxa" w:w="5112"/>
            <w:vAlign w:val="center"/>
          </w:tcPr>
          <w:p>
            <w:pPr>
              <w:spacing w:after="20"/>
            </w:pPr>
            <w:r>
              <w:t>Sample / warmup / repetition</w:t>
            </w:r>
          </w:p>
        </w:tc>
        <w:tc>
          <w:tcPr>
            <w:tcW w:type="dxa" w:w="5112"/>
            <w:vAlign w:val="center"/>
          </w:tcPr>
          <w:p>
            <w:pPr>
              <w:spacing w:after="20"/>
            </w:pPr>
            <w:r>
              <w:t>200 / 20 / 200</w:t>
            </w:r>
          </w:p>
        </w:tc>
      </w:tr>
      <w:tr>
        <w:tc>
          <w:tcPr>
            <w:tcW w:type="dxa" w:w="5112"/>
            <w:vAlign w:val="center"/>
          </w:tcPr>
          <w:p>
            <w:pPr>
              <w:spacing w:after="20"/>
            </w:pPr>
            <w:r>
              <w:t>Device</w:t>
            </w:r>
          </w:p>
        </w:tc>
        <w:tc>
          <w:tcPr>
            <w:tcW w:type="dxa" w:w="5112"/>
            <w:vAlign w:val="center"/>
          </w:tcPr>
          <w:p>
            <w:pPr>
              <w:spacing w:after="20"/>
            </w:pPr>
            <w:r>
              <w:t>cpu</w:t>
            </w:r>
          </w:p>
        </w:tc>
      </w:tr>
    </w:tbl>
    <w:p>
      <w:pPr>
        <w:pStyle w:val="Heading1"/>
      </w:pPr>
      <w:r>
        <w:t>3. Sayısal Özet</w:t>
      </w:r>
    </w:p>
    <w:tbl>
      <w:tblPr>
        <w:tblStyle w:val="TableGrid"/>
        <w:tblW w:type="auto" w:w="0"/>
        <w:jc w:val="center"/>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vAlign w:val="center"/>
          </w:tcPr>
          <w:p>
            <w:pPr>
              <w:spacing w:after="0"/>
              <w:jc w:val="center"/>
            </w:pPr>
            <w:r>
              <w:rPr>
                <w:sz w:val="15"/>
              </w:rPr>
              <w:t>Yöntem</w:t>
            </w:r>
          </w:p>
        </w:tc>
        <w:tc>
          <w:tcPr>
            <w:tcW w:type="dxa" w:w="1022"/>
            <w:vAlign w:val="center"/>
          </w:tcPr>
          <w:p>
            <w:pPr>
              <w:spacing w:after="0"/>
              <w:jc w:val="center"/>
            </w:pPr>
            <w:r>
              <w:rPr>
                <w:sz w:val="15"/>
              </w:rPr>
              <w:t>p50</w:t>
            </w:r>
          </w:p>
        </w:tc>
        <w:tc>
          <w:tcPr>
            <w:tcW w:type="dxa" w:w="1022"/>
            <w:vAlign w:val="center"/>
          </w:tcPr>
          <w:p>
            <w:pPr>
              <w:spacing w:after="0"/>
              <w:jc w:val="center"/>
            </w:pPr>
            <w:r>
              <w:rPr>
                <w:sz w:val="15"/>
              </w:rPr>
              <w:t>p95</w:t>
            </w:r>
          </w:p>
        </w:tc>
        <w:tc>
          <w:tcPr>
            <w:tcW w:type="dxa" w:w="1022"/>
            <w:vAlign w:val="center"/>
          </w:tcPr>
          <w:p>
            <w:pPr>
              <w:spacing w:after="0"/>
              <w:jc w:val="center"/>
            </w:pPr>
            <w:r>
              <w:rPr>
                <w:sz w:val="15"/>
              </w:rPr>
              <w:t>RSS</w:t>
            </w:r>
          </w:p>
        </w:tc>
        <w:tc>
          <w:tcPr>
            <w:tcW w:type="dxa" w:w="1022"/>
            <w:vAlign w:val="center"/>
          </w:tcPr>
          <w:p>
            <w:pPr>
              <w:spacing w:after="0"/>
              <w:jc w:val="center"/>
            </w:pPr>
            <w:r>
              <w:rPr>
                <w:sz w:val="15"/>
              </w:rPr>
              <w:t>CPU</w:t>
            </w:r>
          </w:p>
        </w:tc>
        <w:tc>
          <w:tcPr>
            <w:tcW w:type="dxa" w:w="1022"/>
            <w:vAlign w:val="center"/>
          </w:tcPr>
          <w:p>
            <w:pPr>
              <w:spacing w:after="0"/>
              <w:jc w:val="center"/>
            </w:pPr>
            <w:r>
              <w:rPr>
                <w:sz w:val="15"/>
              </w:rPr>
              <w:t>MB</w:t>
            </w:r>
          </w:p>
        </w:tc>
        <w:tc>
          <w:tcPr>
            <w:tcW w:type="dxa" w:w="1022"/>
            <w:vAlign w:val="center"/>
          </w:tcPr>
          <w:p>
            <w:pPr>
              <w:spacing w:after="0"/>
              <w:jc w:val="center"/>
            </w:pPr>
            <w:r>
              <w:rPr>
                <w:sz w:val="15"/>
              </w:rPr>
              <w:t>RMSE</w:t>
            </w:r>
          </w:p>
        </w:tc>
        <w:tc>
          <w:tcPr>
            <w:tcW w:type="dxa" w:w="1022"/>
            <w:vAlign w:val="center"/>
          </w:tcPr>
          <w:p>
            <w:pPr>
              <w:spacing w:after="0"/>
              <w:jc w:val="center"/>
            </w:pPr>
            <w:r>
              <w:rPr>
                <w:sz w:val="15"/>
              </w:rPr>
              <w:t>MAE</w:t>
            </w:r>
          </w:p>
        </w:tc>
        <w:tc>
          <w:tcPr>
            <w:tcW w:type="dxa" w:w="1022"/>
            <w:vAlign w:val="center"/>
          </w:tcPr>
          <w:p>
            <w:pPr>
              <w:spacing w:after="0"/>
              <w:jc w:val="center"/>
            </w:pPr>
            <w:r>
              <w:rPr>
                <w:sz w:val="15"/>
              </w:rPr>
              <w:t>MAPE</w:t>
            </w:r>
          </w:p>
        </w:tc>
        <w:tc>
          <w:tcPr>
            <w:tcW w:type="dxa" w:w="1022"/>
            <w:vAlign w:val="center"/>
          </w:tcPr>
          <w:p>
            <w:pPr>
              <w:spacing w:after="0"/>
              <w:jc w:val="center"/>
            </w:pPr>
            <w:r>
              <w:rPr>
                <w:sz w:val="15"/>
              </w:rPr>
              <w:t>R2</w:t>
            </w:r>
          </w:p>
        </w:tc>
      </w:tr>
      <w:tr>
        <w:tc>
          <w:tcPr>
            <w:tcW w:type="dxa" w:w="1022"/>
            <w:vAlign w:val="center"/>
          </w:tcPr>
          <w:p>
            <w:pPr>
              <w:spacing w:after="0"/>
              <w:jc w:val="center"/>
            </w:pPr>
            <w:r>
              <w:rPr>
                <w:sz w:val="15"/>
              </w:rPr>
              <w:t>Interp.</w:t>
            </w:r>
          </w:p>
        </w:tc>
        <w:tc>
          <w:tcPr>
            <w:tcW w:type="dxa" w:w="1022"/>
            <w:vAlign w:val="center"/>
          </w:tcPr>
          <w:p>
            <w:pPr>
              <w:spacing w:after="0"/>
              <w:jc w:val="center"/>
            </w:pPr>
            <w:r>
              <w:rPr>
                <w:sz w:val="15"/>
              </w:rPr>
              <w:t>5.69</w:t>
            </w:r>
          </w:p>
        </w:tc>
        <w:tc>
          <w:tcPr>
            <w:tcW w:type="dxa" w:w="1022"/>
            <w:vAlign w:val="center"/>
          </w:tcPr>
          <w:p>
            <w:pPr>
              <w:spacing w:after="0"/>
              <w:jc w:val="center"/>
            </w:pPr>
            <w:r>
              <w:rPr>
                <w:sz w:val="15"/>
              </w:rPr>
              <w:t>6.78</w:t>
            </w:r>
          </w:p>
        </w:tc>
        <w:tc>
          <w:tcPr>
            <w:tcW w:type="dxa" w:w="1022"/>
            <w:vAlign w:val="center"/>
          </w:tcPr>
          <w:p>
            <w:pPr>
              <w:spacing w:after="0"/>
              <w:jc w:val="center"/>
            </w:pPr>
            <w:r>
              <w:rPr>
                <w:sz w:val="15"/>
              </w:rPr>
              <w:t>166.47</w:t>
            </w:r>
          </w:p>
        </w:tc>
        <w:tc>
          <w:tcPr>
            <w:tcW w:type="dxa" w:w="1022"/>
            <w:vAlign w:val="center"/>
          </w:tcPr>
          <w:p>
            <w:pPr>
              <w:spacing w:after="0"/>
              <w:jc w:val="center"/>
            </w:pPr>
            <w:r>
              <w:rPr>
                <w:sz w:val="15"/>
              </w:rPr>
              <w:t>354.96</w:t>
            </w:r>
          </w:p>
        </w:tc>
        <w:tc>
          <w:tcPr>
            <w:tcW w:type="dxa" w:w="1022"/>
            <w:vAlign w:val="center"/>
          </w:tcPr>
          <w:p>
            <w:pPr>
              <w:spacing w:after="0"/>
              <w:jc w:val="center"/>
            </w:pPr>
            <w:r>
              <w:rPr>
                <w:sz w:val="15"/>
              </w:rPr>
              <w:t>2.64</w:t>
            </w:r>
          </w:p>
        </w:tc>
        <w:tc>
          <w:tcPr>
            <w:tcW w:type="dxa" w:w="1022"/>
            <w:vAlign w:val="center"/>
          </w:tcPr>
          <w:p>
            <w:pPr>
              <w:spacing w:after="0"/>
              <w:jc w:val="center"/>
            </w:pPr>
            <w:r>
              <w:rPr>
                <w:sz w:val="15"/>
              </w:rPr>
              <w:t>ref</w:t>
            </w:r>
          </w:p>
        </w:tc>
        <w:tc>
          <w:tcPr>
            <w:tcW w:type="dxa" w:w="1022"/>
            <w:vAlign w:val="center"/>
          </w:tcPr>
          <w:p>
            <w:pPr>
              <w:spacing w:after="0"/>
              <w:jc w:val="center"/>
            </w:pPr>
            <w:r>
              <w:rPr>
                <w:sz w:val="15"/>
              </w:rPr>
              <w:t>ref</w:t>
            </w:r>
          </w:p>
        </w:tc>
        <w:tc>
          <w:tcPr>
            <w:tcW w:type="dxa" w:w="1022"/>
            <w:vAlign w:val="center"/>
          </w:tcPr>
          <w:p>
            <w:pPr>
              <w:spacing w:after="0"/>
              <w:jc w:val="center"/>
            </w:pPr>
            <w:r>
              <w:rPr>
                <w:sz w:val="15"/>
              </w:rPr>
              <w:t>ref</w:t>
            </w:r>
          </w:p>
        </w:tc>
        <w:tc>
          <w:tcPr>
            <w:tcW w:type="dxa" w:w="1022"/>
            <w:vAlign w:val="center"/>
          </w:tcPr>
          <w:p>
            <w:pPr>
              <w:spacing w:after="0"/>
              <w:jc w:val="center"/>
            </w:pPr>
            <w:r>
              <w:rPr>
                <w:sz w:val="15"/>
              </w:rPr>
              <w:t>ref</w:t>
            </w:r>
          </w:p>
        </w:tc>
      </w:tr>
      <w:tr>
        <w:tc>
          <w:tcPr>
            <w:tcW w:type="dxa" w:w="1022"/>
            <w:vAlign w:val="center"/>
          </w:tcPr>
          <w:p>
            <w:pPr>
              <w:spacing w:after="0"/>
              <w:jc w:val="center"/>
            </w:pPr>
            <w:r>
              <w:rPr>
                <w:sz w:val="15"/>
              </w:rPr>
              <w:t>XGB</w:t>
            </w:r>
          </w:p>
        </w:tc>
        <w:tc>
          <w:tcPr>
            <w:tcW w:type="dxa" w:w="1022"/>
            <w:vAlign w:val="center"/>
          </w:tcPr>
          <w:p>
            <w:pPr>
              <w:spacing w:after="0"/>
              <w:jc w:val="center"/>
            </w:pPr>
            <w:r>
              <w:rPr>
                <w:sz w:val="15"/>
              </w:rPr>
              <w:t>1.78</w:t>
            </w:r>
          </w:p>
        </w:tc>
        <w:tc>
          <w:tcPr>
            <w:tcW w:type="dxa" w:w="1022"/>
            <w:vAlign w:val="center"/>
          </w:tcPr>
          <w:p>
            <w:pPr>
              <w:spacing w:after="0"/>
              <w:jc w:val="center"/>
            </w:pPr>
            <w:r>
              <w:rPr>
                <w:sz w:val="15"/>
              </w:rPr>
              <w:t>2.30</w:t>
            </w:r>
          </w:p>
        </w:tc>
        <w:tc>
          <w:tcPr>
            <w:tcW w:type="dxa" w:w="1022"/>
            <w:vAlign w:val="center"/>
          </w:tcPr>
          <w:p>
            <w:pPr>
              <w:spacing w:after="0"/>
              <w:jc w:val="center"/>
            </w:pPr>
            <w:r>
              <w:rPr>
                <w:sz w:val="15"/>
              </w:rPr>
              <w:t>318.05</w:t>
            </w:r>
          </w:p>
        </w:tc>
        <w:tc>
          <w:tcPr>
            <w:tcW w:type="dxa" w:w="1022"/>
            <w:vAlign w:val="center"/>
          </w:tcPr>
          <w:p>
            <w:pPr>
              <w:spacing w:after="0"/>
              <w:jc w:val="center"/>
            </w:pPr>
            <w:r>
              <w:rPr>
                <w:sz w:val="15"/>
              </w:rPr>
              <w:t>117.70</w:t>
            </w:r>
          </w:p>
        </w:tc>
        <w:tc>
          <w:tcPr>
            <w:tcW w:type="dxa" w:w="1022"/>
            <w:vAlign w:val="center"/>
          </w:tcPr>
          <w:p>
            <w:pPr>
              <w:spacing w:after="0"/>
              <w:jc w:val="center"/>
            </w:pPr>
            <w:r>
              <w:rPr>
                <w:sz w:val="15"/>
              </w:rPr>
              <w:t>1.92</w:t>
            </w:r>
          </w:p>
        </w:tc>
        <w:tc>
          <w:tcPr>
            <w:tcW w:type="dxa" w:w="1022"/>
            <w:vAlign w:val="center"/>
          </w:tcPr>
          <w:p>
            <w:pPr>
              <w:spacing w:after="0"/>
              <w:jc w:val="center"/>
            </w:pPr>
            <w:r>
              <w:rPr>
                <w:sz w:val="15"/>
              </w:rPr>
              <w:t>0.003468</w:t>
            </w:r>
          </w:p>
        </w:tc>
        <w:tc>
          <w:tcPr>
            <w:tcW w:type="dxa" w:w="1022"/>
            <w:vAlign w:val="center"/>
          </w:tcPr>
          <w:p>
            <w:pPr>
              <w:spacing w:after="0"/>
              <w:jc w:val="center"/>
            </w:pPr>
            <w:r>
              <w:rPr>
                <w:sz w:val="15"/>
              </w:rPr>
              <w:t>0.001372</w:t>
            </w:r>
          </w:p>
        </w:tc>
        <w:tc>
          <w:tcPr>
            <w:tcW w:type="dxa" w:w="1022"/>
            <w:vAlign w:val="center"/>
          </w:tcPr>
          <w:p>
            <w:pPr>
              <w:spacing w:after="0"/>
              <w:jc w:val="center"/>
            </w:pPr>
            <w:r>
              <w:rPr>
                <w:sz w:val="15"/>
              </w:rPr>
              <w:t>1.560243</w:t>
            </w:r>
          </w:p>
        </w:tc>
        <w:tc>
          <w:tcPr>
            <w:tcW w:type="dxa" w:w="1022"/>
            <w:vAlign w:val="center"/>
          </w:tcPr>
          <w:p>
            <w:pPr>
              <w:spacing w:after="0"/>
              <w:jc w:val="center"/>
            </w:pPr>
            <w:r>
              <w:rPr>
                <w:sz w:val="15"/>
              </w:rPr>
              <w:t>0.998477</w:t>
            </w:r>
          </w:p>
        </w:tc>
      </w:tr>
      <w:tr>
        <w:tc>
          <w:tcPr>
            <w:tcW w:type="dxa" w:w="1022"/>
            <w:vAlign w:val="center"/>
          </w:tcPr>
          <w:p>
            <w:pPr>
              <w:spacing w:after="0"/>
              <w:jc w:val="center"/>
            </w:pPr>
            <w:r>
              <w:rPr>
                <w:sz w:val="15"/>
              </w:rPr>
              <w:t>FT-T</w:t>
            </w:r>
          </w:p>
        </w:tc>
        <w:tc>
          <w:tcPr>
            <w:tcW w:type="dxa" w:w="1022"/>
            <w:vAlign w:val="center"/>
          </w:tcPr>
          <w:p>
            <w:pPr>
              <w:spacing w:after="0"/>
              <w:jc w:val="center"/>
            </w:pPr>
            <w:r>
              <w:rPr>
                <w:sz w:val="15"/>
              </w:rPr>
              <w:t>2.22</w:t>
            </w:r>
          </w:p>
        </w:tc>
        <w:tc>
          <w:tcPr>
            <w:tcW w:type="dxa" w:w="1022"/>
            <w:vAlign w:val="center"/>
          </w:tcPr>
          <w:p>
            <w:pPr>
              <w:spacing w:after="0"/>
              <w:jc w:val="center"/>
            </w:pPr>
            <w:r>
              <w:rPr>
                <w:sz w:val="15"/>
              </w:rPr>
              <w:t>3.05</w:t>
            </w:r>
          </w:p>
        </w:tc>
        <w:tc>
          <w:tcPr>
            <w:tcW w:type="dxa" w:w="1022"/>
            <w:vAlign w:val="center"/>
          </w:tcPr>
          <w:p>
            <w:pPr>
              <w:spacing w:after="0"/>
              <w:jc w:val="center"/>
            </w:pPr>
            <w:r>
              <w:rPr>
                <w:sz w:val="15"/>
              </w:rPr>
              <w:t>482.11</w:t>
            </w:r>
          </w:p>
        </w:tc>
        <w:tc>
          <w:tcPr>
            <w:tcW w:type="dxa" w:w="1022"/>
            <w:vAlign w:val="center"/>
          </w:tcPr>
          <w:p>
            <w:pPr>
              <w:spacing w:after="0"/>
              <w:jc w:val="center"/>
            </w:pPr>
            <w:r>
              <w:rPr>
                <w:sz w:val="15"/>
              </w:rPr>
              <w:t>116.15</w:t>
            </w:r>
          </w:p>
        </w:tc>
        <w:tc>
          <w:tcPr>
            <w:tcW w:type="dxa" w:w="1022"/>
            <w:vAlign w:val="center"/>
          </w:tcPr>
          <w:p>
            <w:pPr>
              <w:spacing w:after="0"/>
              <w:jc w:val="center"/>
            </w:pPr>
            <w:r>
              <w:rPr>
                <w:sz w:val="15"/>
              </w:rPr>
              <w:t>0.42</w:t>
            </w:r>
          </w:p>
        </w:tc>
        <w:tc>
          <w:tcPr>
            <w:tcW w:type="dxa" w:w="1022"/>
            <w:vAlign w:val="center"/>
          </w:tcPr>
          <w:p>
            <w:pPr>
              <w:spacing w:after="0"/>
              <w:jc w:val="center"/>
            </w:pPr>
            <w:r>
              <w:rPr>
                <w:sz w:val="15"/>
              </w:rPr>
              <w:t>0.003671</w:t>
            </w:r>
          </w:p>
        </w:tc>
        <w:tc>
          <w:tcPr>
            <w:tcW w:type="dxa" w:w="1022"/>
            <w:vAlign w:val="center"/>
          </w:tcPr>
          <w:p>
            <w:pPr>
              <w:spacing w:after="0"/>
              <w:jc w:val="center"/>
            </w:pPr>
            <w:r>
              <w:rPr>
                <w:sz w:val="15"/>
              </w:rPr>
              <w:t>0.002044</w:t>
            </w:r>
          </w:p>
        </w:tc>
        <w:tc>
          <w:tcPr>
            <w:tcW w:type="dxa" w:w="1022"/>
            <w:vAlign w:val="center"/>
          </w:tcPr>
          <w:p>
            <w:pPr>
              <w:spacing w:after="0"/>
              <w:jc w:val="center"/>
            </w:pPr>
            <w:r>
              <w:rPr>
                <w:sz w:val="15"/>
              </w:rPr>
              <w:t>2.887864</w:t>
            </w:r>
          </w:p>
        </w:tc>
        <w:tc>
          <w:tcPr>
            <w:tcW w:type="dxa" w:w="1022"/>
            <w:vAlign w:val="center"/>
          </w:tcPr>
          <w:p>
            <w:pPr>
              <w:spacing w:after="0"/>
              <w:jc w:val="center"/>
            </w:pPr>
            <w:r>
              <w:rPr>
                <w:sz w:val="15"/>
              </w:rPr>
              <w:t>0.998293</w:t>
            </w:r>
          </w:p>
        </w:tc>
      </w:tr>
    </w:tbl>
    <w:p>
      <w:r>
        <w:t>Not: Interpolasyon için RMSE/MAE/MAPE/R2 alanları 'ref' olarak bırakılmıştır; bu yöntem doğruluk yarışında değil, runtime maliyeti kıyasında yer alır.</w:t>
      </w:r>
    </w:p>
    <w:p>
      <w:pPr>
        <w:pStyle w:val="Heading1"/>
      </w:pPr>
      <w:r>
        <w:t>4. Grafiklerle Karşılaştırma</w:t>
      </w:r>
    </w:p>
    <w:p>
      <w:pPr>
        <w:pStyle w:val="Heading2"/>
      </w:pPr>
      <w:r>
        <w:t>Tekil Tahmin Gecikmesi</w:t>
      </w:r>
    </w:p>
    <w:p>
      <w:r>
        <w:drawing>
          <wp:inline xmlns:a="http://schemas.openxmlformats.org/drawingml/2006/main" xmlns:pic="http://schemas.openxmlformats.org/drawingml/2006/picture">
            <wp:extent cx="5989320" cy="3208848"/>
            <wp:docPr id="1" name="Picture 1"/>
            <wp:cNvGraphicFramePr>
              <a:graphicFrameLocks noChangeAspect="1"/>
            </wp:cNvGraphicFramePr>
            <a:graphic>
              <a:graphicData uri="http://schemas.openxmlformats.org/drawingml/2006/picture">
                <pic:pic>
                  <pic:nvPicPr>
                    <pic:cNvPr id="0" name="latency_p50_p95.png"/>
                    <pic:cNvPicPr/>
                  </pic:nvPicPr>
                  <pic:blipFill>
                    <a:blip r:embed="rId9"/>
                    <a:stretch>
                      <a:fillRect/>
                    </a:stretch>
                  </pic:blipFill>
                  <pic:spPr>
                    <a:xfrm>
                      <a:off x="0" y="0"/>
                      <a:ext cx="5989320" cy="3208848"/>
                    </a:xfrm>
                    <a:prstGeom prst="rect"/>
                  </pic:spPr>
                </pic:pic>
              </a:graphicData>
            </a:graphic>
          </wp:inline>
        </w:drawing>
      </w:r>
    </w:p>
    <w:p>
      <w:pPr>
        <w:jc w:val="center"/>
      </w:pPr>
      <w:r>
        <w:rPr>
          <w:i/>
          <w:sz w:val="17"/>
        </w:rPr>
        <w:t>p50 tipik gecikmeyi, p95 ise kötü ama olağan gecikme kuyruğunu gösterir. Düşük değer daha iyidir.</w:t>
      </w:r>
    </w:p>
    <w:p>
      <w:pPr>
        <w:pStyle w:val="Heading2"/>
      </w:pPr>
      <w:r>
        <w:t>Kaynak Kullanımı</w:t>
      </w:r>
    </w:p>
    <w:p>
      <w:r>
        <w:drawing>
          <wp:inline xmlns:a="http://schemas.openxmlformats.org/drawingml/2006/main" xmlns:pic="http://schemas.openxmlformats.org/drawingml/2006/picture">
            <wp:extent cx="5989320" cy="2698122"/>
            <wp:docPr id="2" name="Picture 2"/>
            <wp:cNvGraphicFramePr>
              <a:graphicFrameLocks noChangeAspect="1"/>
            </wp:cNvGraphicFramePr>
            <a:graphic>
              <a:graphicData uri="http://schemas.openxmlformats.org/drawingml/2006/picture">
                <pic:pic>
                  <pic:nvPicPr>
                    <pic:cNvPr id="0" name="resource_usage.png"/>
                    <pic:cNvPicPr/>
                  </pic:nvPicPr>
                  <pic:blipFill>
                    <a:blip r:embed="rId10"/>
                    <a:stretch>
                      <a:fillRect/>
                    </a:stretch>
                  </pic:blipFill>
                  <pic:spPr>
                    <a:xfrm>
                      <a:off x="0" y="0"/>
                      <a:ext cx="5989320" cy="2698122"/>
                    </a:xfrm>
                    <a:prstGeom prst="rect"/>
                  </pic:spPr>
                </pic:pic>
              </a:graphicData>
            </a:graphic>
          </wp:inline>
        </w:drawing>
      </w:r>
    </w:p>
    <w:p>
      <w:pPr>
        <w:jc w:val="center"/>
      </w:pPr>
      <w:r>
        <w:rPr>
          <w:i/>
          <w:sz w:val="17"/>
        </w:rPr>
        <w:t>Peak RSS bellek ayak izini; process CPU ortalaması ise benchmark sırasında kullanılan işlemci yoğunluğunu gösterir.</w:t>
      </w:r>
    </w:p>
    <w:p>
      <w:pPr>
        <w:pStyle w:val="Heading2"/>
      </w:pPr>
      <w:r>
        <w:t>Doğruluk Metrikleri</w:t>
      </w:r>
    </w:p>
    <w:p>
      <w:r>
        <w:drawing>
          <wp:inline xmlns:a="http://schemas.openxmlformats.org/drawingml/2006/main" xmlns:pic="http://schemas.openxmlformats.org/drawingml/2006/picture">
            <wp:extent cx="5989320" cy="2014589"/>
            <wp:docPr id="3" name="Picture 3"/>
            <wp:cNvGraphicFramePr>
              <a:graphicFrameLocks noChangeAspect="1"/>
            </wp:cNvGraphicFramePr>
            <a:graphic>
              <a:graphicData uri="http://schemas.openxmlformats.org/drawingml/2006/picture">
                <pic:pic>
                  <pic:nvPicPr>
                    <pic:cNvPr id="0" name="accuracy_metrics.png"/>
                    <pic:cNvPicPr/>
                  </pic:nvPicPr>
                  <pic:blipFill>
                    <a:blip r:embed="rId11"/>
                    <a:stretch>
                      <a:fillRect/>
                    </a:stretch>
                  </pic:blipFill>
                  <pic:spPr>
                    <a:xfrm>
                      <a:off x="0" y="0"/>
                      <a:ext cx="5989320" cy="2014589"/>
                    </a:xfrm>
                    <a:prstGeom prst="rect"/>
                  </pic:spPr>
                </pic:pic>
              </a:graphicData>
            </a:graphic>
          </wp:inline>
        </w:drawing>
      </w:r>
    </w:p>
    <w:p>
      <w:pPr>
        <w:jc w:val="center"/>
      </w:pPr>
      <w:r>
        <w:rPr>
          <w:i/>
          <w:sz w:val="17"/>
        </w:rPr>
        <w:t>Doğruluk karşılaştırması yalnız XGBoost ve FT-Transformer arasında yapılır; interpolasyon referans ailesidir.</w:t>
      </w:r>
    </w:p>
    <w:p>
      <w:pPr>
        <w:pStyle w:val="Heading2"/>
      </w:pPr>
      <w:r>
        <w:t>Maliyet Bileşenleri</w:t>
      </w:r>
    </w:p>
    <w:p>
      <w:r>
        <w:drawing>
          <wp:inline xmlns:a="http://schemas.openxmlformats.org/drawingml/2006/main" xmlns:pic="http://schemas.openxmlformats.org/drawingml/2006/picture">
            <wp:extent cx="5989320" cy="2994660"/>
            <wp:docPr id="4" name="Picture 4"/>
            <wp:cNvGraphicFramePr>
              <a:graphicFrameLocks noChangeAspect="1"/>
            </wp:cNvGraphicFramePr>
            <a:graphic>
              <a:graphicData uri="http://schemas.openxmlformats.org/drawingml/2006/picture">
                <pic:pic>
                  <pic:nvPicPr>
                    <pic:cNvPr id="0" name="cost_components.png"/>
                    <pic:cNvPicPr/>
                  </pic:nvPicPr>
                  <pic:blipFill>
                    <a:blip r:embed="rId12"/>
                    <a:stretch>
                      <a:fillRect/>
                    </a:stretch>
                  </pic:blipFill>
                  <pic:spPr>
                    <a:xfrm>
                      <a:off x="0" y="0"/>
                      <a:ext cx="5989320" cy="2994660"/>
                    </a:xfrm>
                    <a:prstGeom prst="rect"/>
                  </pic:spPr>
                </pic:pic>
              </a:graphicData>
            </a:graphic>
          </wp:inline>
        </w:drawing>
      </w:r>
    </w:p>
    <w:p>
      <w:pPr>
        <w:jc w:val="center"/>
      </w:pPr>
      <w:r>
        <w:rPr>
          <w:i/>
          <w:sz w:val="17"/>
        </w:rPr>
        <w:t>Bileşenler hedef değerlere göre normalize edilmiştir. Interpolasyon için accuracy bileşeni hesaplanmaz.</w:t>
      </w:r>
    </w:p>
    <w:p>
      <w:pPr>
        <w:pStyle w:val="Heading2"/>
      </w:pPr>
      <w:r>
        <w:t>Fit Score</w:t>
      </w:r>
    </w:p>
    <w:p>
      <w:r>
        <w:drawing>
          <wp:inline xmlns:a="http://schemas.openxmlformats.org/drawingml/2006/main" xmlns:pic="http://schemas.openxmlformats.org/drawingml/2006/picture">
            <wp:extent cx="5989320" cy="2923263"/>
            <wp:docPr id="5" name="Picture 5"/>
            <wp:cNvGraphicFramePr>
              <a:graphicFrameLocks noChangeAspect="1"/>
            </wp:cNvGraphicFramePr>
            <a:graphic>
              <a:graphicData uri="http://schemas.openxmlformats.org/drawingml/2006/picture">
                <pic:pic>
                  <pic:nvPicPr>
                    <pic:cNvPr id="0" name="fit_score.png"/>
                    <pic:cNvPicPr/>
                  </pic:nvPicPr>
                  <pic:blipFill>
                    <a:blip r:embed="rId13"/>
                    <a:stretch>
                      <a:fillRect/>
                    </a:stretch>
                  </pic:blipFill>
                  <pic:spPr>
                    <a:xfrm>
                      <a:off x="0" y="0"/>
                      <a:ext cx="5989320" cy="2923263"/>
                    </a:xfrm>
                    <a:prstGeom prst="rect"/>
                  </pic:spPr>
                </pic:pic>
              </a:graphicData>
            </a:graphic>
          </wp:inline>
        </w:drawing>
      </w:r>
    </w:p>
    <w:p>
      <w:pPr>
        <w:jc w:val="center"/>
      </w:pPr>
      <w:r>
        <w:rPr>
          <w:i/>
          <w:sz w:val="17"/>
        </w:rPr>
        <w:t>Fit Score birleşik maliyetten türetilir; yüksek skor daha uygun adayı ifade eder.</w:t>
      </w:r>
    </w:p>
    <w:p>
      <w:pPr>
        <w:pStyle w:val="Heading1"/>
      </w:pPr>
      <w:r>
        <w:t>5. Maliyet Simülatörü ile İlişki</w:t>
      </w:r>
    </w:p>
    <w:p>
      <w:r>
        <w:t>Flask arayüzündeki Maliyet sekmesi önce canlı benchmark dosyasını okur. Bu dosya yoksa repo içinde tutulan referans JSON dosyası fallback olarak kullanılır. Böylece bu üçlü ölçüm, arayüzdeki maliyet hesaplaması için kalıcı referans olarak saklanır.</w:t>
      </w:r>
    </w:p>
    <w:p>
      <w:r>
        <w:t>Varsayılan ağırlıklar Accuracy %45, Latency %25, Memory %20 ve CPU %10'dur. Accuracy cost; RMSE, MAE, MAPE ve R2 gap değerlerinin hedeflere oranlanmış ortalamasıdır. Latency, p95 gecikmenin 10 ms hedefine oranıdır. Memory, Peak RSS değerinin seçilen RAM bütçesine oranıdır. CPU, ortalama process CPU yüzdesinin %80 hedefine oranıdır.</w:t>
      </w:r>
    </w:p>
    <w:p>
      <w:pPr>
        <w:pStyle w:val="Heading1"/>
      </w:pPr>
      <w:r>
        <w:t>6. Teknik Yorum</w:t>
      </w:r>
    </w:p>
    <w:p>
      <w:r>
        <w:t>XGBoost'un bu veri setinde güçlü çıkması şaşırtıcı değildir; tabular regresyonda ağaç tabanlı yöntemler özellikle orta ölçekli ve düzenli veri tablolarında çok güçlü baseline üretir. Bu ölçümde XGBoost hem p95 latency hem RMSE/MAE/MAPE açısından FT-Transformer'ın önündedir.</w:t>
      </w:r>
    </w:p>
    <w:p>
      <w:r>
        <w:t>FT-Transformer'ın burada geride kalması mimarinin değersiz olduğu anlamına gelmez. Daha kapsamlı hiperparametre araması, eğitim rejimi, model sıkıştırma veya donanım özel optimizasyonları ile tablo değişebilir. Bu nedenle FT-Transformer proje ana mimari adayı olarak korunur; XGBoost ise güçlü ve adil baseline olarak konumlanır.</w:t>
      </w:r>
    </w:p>
    <w:p>
      <w:r>
        <w:t>Interpolasyonun rolü farklıdır: veri tablosuna dayalı deterministik referans ailesi olarak kullanılır. Bu yüzden doğruluk yarışında 'kazanan' olarak gösterilmesi yanıltıcı olur. Buna karşılık runtime maliyeti ölçülmelidir; çünkü uygulamada referans üretimi veya custom input kıyası sırasında gerçek zamanlı kullanılmaktadır.</w:t>
      </w:r>
    </w:p>
    <w:p>
      <w:pPr>
        <w:pStyle w:val="Heading1"/>
      </w:pPr>
      <w:r>
        <w:t>7. Saklanan Dosyalar</w:t>
      </w:r>
    </w:p>
    <w:p>
      <w:r>
        <w:t>docs/benchmark_reference/pi_benchmark_latest_reference.json</w:t>
      </w:r>
    </w:p>
    <w:p>
      <w:r>
        <w:t>docs/benchmark_reference/benchmark_summary.csv</w:t>
      </w:r>
    </w:p>
    <w:p>
      <w:r>
        <w:t>docs/benchmark_reference/benchmark_reference_report.md</w:t>
      </w:r>
    </w:p>
    <w:p>
      <w:r>
        <w:t>docs/benchmark_reference/figures/*.png</w:t>
      </w:r>
    </w:p>
    <w:p>
      <w:r>
        <w:t>docs/benchmark_reference/Specific_Range_Benchmark_Raporu.docx</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5F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80E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