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Title"/>
      </w:pPr>
      <w:r>
        <w:t xml:space="preserve">HAVACILIK PERFORMANS VERİLERİNDE TABULAR TRANSFORMER RAPOR TASLAĞI</w:t>
      </w:r>
    </w:p>
    <w:p>
      <w:pPr>
        <w:pStyle w:val="Subtitle"/>
      </w:pPr>
      <w:r>
        <w:t xml:space="preserve">FT-Transformer, XGBoost ve PSO tabanlı çoklu amaçlı modelleme</w:t>
      </w:r>
    </w:p>
    <w:p>
      <w:pPr>
        <w:jc w:val="center"/>
      </w:pPr>
      <w:r>
        <w:rPr>
          <w:i/>
        </w:rPr>
        <w:t xml:space="preserve">Bu sürüm, sohbet içinde bölüm bölüm iyileştirilen rapor metinlerinin daha akademik düzenlenmiş halidir. Formüller Word içinde equation olarak yerleştirilmiş, ayrıca üretilen rapor çıktılarından seçili görseller de belgeye eklenmiştir.</w:t>
      </w:r>
    </w:p>
    <w:p>
      <w:r>
        <w:br w:type="page"/>
      </w:r>
    </w:p>
    <w:p>
      <w:pPr>
        <w:pStyle w:val="Heading1"/>
      </w:pPr>
      <w:r>
        <w:t xml:space="preserve">1. Giriş ve Motivasyon</w:t>
      </w:r>
    </w:p>
    <w:p>
      <w:r>
        <w:t xml:space="preserve">Uçak aviyoniklerinde specific range gibi performans büyüklükleri çoğu zaman tablo halinde saklanır. Ancak bu tablolar genellikle yalnızca belirli irtifa ve uçuş koşullarını içerir. Uçak ara bir değerde, örneğin 11,000 ft gibi tabloda doğrudan bulunmayan bir noktada uçtuğunda, sistemin bu değeri dolaylı yöntemlerle tahmin etmesi gerekir.</w:t>
      </w:r>
    </w:p>
    <w:p>
      <w:r>
        <w:t xml:space="preserve">Klasik yaklaşım, lookup table ve nümerik interpolasyon kullanmaktır. Bu yöntem pratik ve açıklanabilir olsa da, çok boyutlu ve doğrusal olmayan uçuş ilişkilerini her zaman yeterince iyi temsil edemez. Ayrıca doğruluk arttırılmak istendiğinde tablo boyutu, bellek ihtiyacı ve bakım maliyeti de hızla büyür. Bu çalışmanın çıkış noktası, bu ara değer tahminini öğrenilebilir bir modelle yapmanın ne kadar mümkün olduğunu göstermektir.</w:t>
      </w:r>
    </w:p>
    <w:p>
      <w:r>
        <w:t xml:space="preserve">Bu nedenle proje, iki hedefi birlikte ele almaktadır: birincisi, specific range tahminini modern tabular öğrenme yöntemleriyle gerçekleştirmek; ikincisi ise bu modellerin donanım maliyeti açısından ne kadar uygulanabilir olduğunu incelemektir. Burada FT-Transformer ana model, XGBoost ise güçlü bir kıyas çizgisi olarak kullanılmıştır.</w:t>
      </w:r>
    </w:p>
    <w:p>
      <w:pPr>
        <w:jc w:val="center"/>
      </w:pPr>
      <w:r>
        <w:drawing>
          <wp:inline distT="0" distB="0" distL="0" distR="0">
            <wp:extent cx="5852160" cy="2014498"/>
            <wp:docPr id="101" name="report_problem_motivation.png"/>
            <a:graphic>
              <a:graphicData uri="http://schemas.openxmlformats.org/drawingml/2006/picture">
                <pic:pic>
                  <pic:nvPicPr>
                    <pic:cNvPr id="101" name="report_problem_motivation.png"/>
                    <pic:cNvPicPr/>
                  </pic:nvPicPr>
                  <pic:blipFill>
                    <a:blip r:embed="rId2"/>
                    <a:stretch>
                      <a:fillRect/>
                    </a:stretch>
                  </pic:blipFill>
                  <pic:spPr>
                    <a:xfrm>
                      <a:off x="0" y="0"/>
                      <a:ext cx="5852160" cy="2014498"/>
                    </a:xfrm>
                    <a:prstGeom prst="rect">
                      <a:avLst/>
                    </a:prstGeom>
                  </pic:spPr>
                </pic:pic>
              </a:graphicData>
            </a:graphic>
          </wp:inline>
        </w:drawing>
      </w:r>
    </w:p>
    <w:p>
      <w:pPr>
        <w:pStyle w:val="Caption"/>
        <w:jc w:val="center"/>
      </w:pPr>
      <w:r>
        <w:t xml:space="preserve">Şekil 1. Tablo tabanlı performans verilerinden ara deger specific range tahminine gecis problemi. Sema proje icin yeniden cizilmistir.</w:t>
      </w:r>
    </w:p>
    <w:p>
      <w:pPr>
        <w:pStyle w:val="Heading1"/>
      </w:pPr>
      <w:r>
        <w:t xml:space="preserve">2. Veri ve Problemin Tanımı</w:t>
      </w:r>
    </w:p>
    <w:p>
      <w:r>
        <w:t xml:space="preserve">Bu çalışma, One Engine ve Two Engine veri kaynaklarından elde edilen specific range tablolarını çoklu irtifa rejimlerinde öğrenilebilir bir regresyon problemine dönüştürmektedir. Her satır, belirli bir uçuş koşulunu temsil eder; hedef değişken specific_range, girdiler ise altitude, gross_weight, drag_index, mach, fuel_flow ve engine_type olarak tanımlanmıştır.</w:t>
      </w:r>
    </w:p>
    <w:p>
      <w:r>
        <w:t xml:space="preserve">Başka bir ifadeyle model, tek bir tablo satırını ezberlemek yerine, bu değişkenlerin birlikte oluşturduğu çok boyutlu performans yüzeyini öğrenmeye çalışır. Böylece hem tablo içinde bulunan noktalar hem de iki tablo noktası arasındaki ara değerler için tahmin üretilebilir.</w:t>
      </w:r>
    </w:p>
    <w:p>
      <w:pPr>
        <w:pStyle w:val="Heading2"/>
      </w:pPr>
      <w:r>
        <w:t xml:space="preserve">Regresyon problemi genel biçimde aşağıdaki şekilde ifade edilebilir:</w:t>
      </w:r>
    </w:p>
    <w:p>
      <w:pPr>
        <w:jc w:val="center"/>
      </w:pPr>
      <m:oMath xmlns:m="http://schemas.openxmlformats.org/officeDocument/2006/math">
        <m:limUpp>
          <m:e>
            <m:r>
              <m:t>y</m:t>
            </m:r>
          </m:e>
          <m:lim>
            <m:r>
              <m:t>^</m:t>
            </m:r>
          </m:lim>
        </m:limUpp>
        <m:r>
          <m:t>=</m:t>
        </m:r>
        <m:sSub>
          <m:e>
            <m:r>
              <m:t>f</m:t>
            </m:r>
          </m:e>
          <m:sub>
            <m:r>
              <m:t>θ</m:t>
            </m:r>
          </m:sub>
        </m:sSub>
        <m:r>
          <m:t>(x)</m:t>
        </m:r>
      </m:oMath>
    </w:p>
    <w:p>
      <w:pPr>
        <w:pStyle w:val="Caption"/>
        <w:jc w:val="center"/>
      </w:pPr>
      <w:r>
        <w:t xml:space="preserve">Denklem 1. Regresyon hedef fonksiyonu.</w:t>
      </w:r>
    </w:p>
    <w:p>
      <w:r>
        <w:t xml:space="preserve">Burada x vektörü uçuş ve konfigürasyon girdilerini, y_hat ise tahmin edilen specific range değerini temsil etmektedir.</w:t>
      </w:r>
    </w:p>
    <w:p>
      <w:pPr>
        <w:pStyle w:val="Heading2"/>
      </w:pPr>
      <w:r>
        <w:t xml:space="preserve">Genel veri özeti</w:t>
      </w:r>
    </w:p>
    <w:p>
      <w:r>
        <w:t xml:space="preserve">Veri setlerinin yalnızca toplam büyüklüğünü değil, aynı zamanda irtifa kapsamını ve hedef değişken aralıklarını görünür kılmak amacıyla temizlenmiş veri seti üzerinden global bir özet tablo hazırlanmıştır.</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600" w:type="dxa"/>
          </w:tcPr>
          <w:p>
            <w:r>
              <w:rPr>
                <w:b/>
              </w:rPr>
              <w:t xml:space="preserve">Veri seti</w:t>
            </w:r>
          </w:p>
        </w:tc>
        <w:tc>
          <w:tcPr>
            <w:tcW w:w="1300" w:type="dxa"/>
          </w:tcPr>
          <w:p>
            <w:r>
              <w:rPr>
                <w:b/>
              </w:rPr>
              <w:t xml:space="preserve">Satır sayısı</w:t>
            </w:r>
          </w:p>
        </w:tc>
        <w:tc>
          <w:tcPr>
            <w:tcW w:w="1500" w:type="dxa"/>
          </w:tcPr>
          <w:p>
            <w:r>
              <w:rPr>
                <w:b/>
              </w:rPr>
              <w:t xml:space="preserve">Altitude range</w:t>
            </w:r>
          </w:p>
        </w:tc>
        <w:tc>
          <w:tcPr>
            <w:tcW w:w="1300" w:type="dxa"/>
          </w:tcPr>
          <w:p>
            <w:r>
              <w:rPr>
                <w:b/>
              </w:rPr>
              <w:t xml:space="preserve">Altitude levels</w:t>
            </w:r>
          </w:p>
        </w:tc>
        <w:tc>
          <w:tcPr>
            <w:tcW w:w="1900" w:type="dxa"/>
          </w:tcPr>
          <w:p>
            <w:r>
              <w:rPr>
                <w:b/>
              </w:rPr>
              <w:t xml:space="preserve">Fuel Flow min-max</w:t>
            </w:r>
          </w:p>
        </w:tc>
        <w:tc>
          <w:tcPr>
            <w:tcW w:w="1900" w:type="dxa"/>
          </w:tcPr>
          <w:p>
            <w:r>
              <w:rPr>
                <w:b/>
              </w:rPr>
              <w:t xml:space="preserve">Fuel Flow p01-p99</w:t>
            </w:r>
          </w:p>
        </w:tc>
        <w:tc>
          <w:tcPr>
            <w:tcW w:w="1900" w:type="dxa"/>
          </w:tcPr>
          <w:p>
            <w:r>
              <w:rPr>
                <w:b/>
              </w:rPr>
              <w:t xml:space="preserve">Specific Range min-max</w:t>
            </w:r>
          </w:p>
        </w:tc>
        <w:tc>
          <w:tcPr>
            <w:tcW w:w="1900" w:type="dxa"/>
          </w:tcPr>
          <w:p>
            <w:r>
              <w:rPr>
                <w:b/>
              </w:rPr>
              <w:t xml:space="preserve">Specific Range p01-p99</w:t>
            </w:r>
          </w:p>
        </w:tc>
      </w:tr>
      <w:tr>
        <w:tc>
          <w:tcPr>
            <w:tcW w:w="1600" w:type="dxa"/>
          </w:tcPr>
          <w:p>
            <w:r>
              <w:t xml:space="preserve">one_engine</w:t>
            </w:r>
          </w:p>
        </w:tc>
        <w:tc>
          <w:tcPr>
            <w:tcW w:w="1300" w:type="dxa"/>
          </w:tcPr>
          <w:p>
            <w:r>
              <w:t xml:space="preserve">18025</w:t>
            </w:r>
          </w:p>
        </w:tc>
        <w:tc>
          <w:tcPr>
            <w:tcW w:w="1500" w:type="dxa"/>
          </w:tcPr>
          <w:p>
            <w:r>
              <w:t xml:space="preserve">5000-35000 ft</w:t>
            </w:r>
          </w:p>
        </w:tc>
        <w:tc>
          <w:tcPr>
            <w:tcW w:w="1300" w:type="dxa"/>
          </w:tcPr>
          <w:p>
            <w:r>
              <w:t xml:space="preserve">7</w:t>
            </w:r>
          </w:p>
        </w:tc>
        <w:tc>
          <w:tcPr>
            <w:tcW w:w="1900" w:type="dxa"/>
          </w:tcPr>
          <w:p>
            <w:r>
              <w:t xml:space="preserve">452.25-13184.33</w:t>
            </w:r>
          </w:p>
        </w:tc>
        <w:tc>
          <w:tcPr>
            <w:tcW w:w="1900" w:type="dxa"/>
          </w:tcPr>
          <w:p>
            <w:r>
              <w:t xml:space="preserve">525.66-12043.66</w:t>
            </w:r>
          </w:p>
        </w:tc>
        <w:tc>
          <w:tcPr>
            <w:tcW w:w="1900" w:type="dxa"/>
          </w:tcPr>
          <w:p>
            <w:r>
              <w:t xml:space="preserve">0.011770-0.766000</w:t>
            </w:r>
          </w:p>
        </w:tc>
        <w:tc>
          <w:tcPr>
            <w:tcW w:w="1900" w:type="dxa"/>
          </w:tcPr>
          <w:p>
            <w:r>
              <w:t xml:space="preserve">0.017977-0.667248</w:t>
            </w:r>
          </w:p>
        </w:tc>
      </w:tr>
      <w:tr>
        <w:tc>
          <w:tcPr>
            <w:tcW w:w="1600" w:type="dxa"/>
          </w:tcPr>
          <w:p>
            <w:r>
              <w:t xml:space="preserve">two_engine</w:t>
            </w:r>
          </w:p>
        </w:tc>
        <w:tc>
          <w:tcPr>
            <w:tcW w:w="1300" w:type="dxa"/>
          </w:tcPr>
          <w:p>
            <w:r>
              <w:t xml:space="preserve">36595</w:t>
            </w:r>
          </w:p>
        </w:tc>
        <w:tc>
          <w:tcPr>
            <w:tcW w:w="1500" w:type="dxa"/>
          </w:tcPr>
          <w:p>
            <w:r>
              <w:t xml:space="preserve">5000-50000 ft</w:t>
            </w:r>
          </w:p>
        </w:tc>
        <w:tc>
          <w:tcPr>
            <w:tcW w:w="1300" w:type="dxa"/>
          </w:tcPr>
          <w:p>
            <w:r>
              <w:t xml:space="preserve">10</w:t>
            </w:r>
          </w:p>
        </w:tc>
        <w:tc>
          <w:tcPr>
            <w:tcW w:w="1900" w:type="dxa"/>
          </w:tcPr>
          <w:p>
            <w:r>
              <w:t xml:space="preserve">1202.03-1569823.82</w:t>
            </w:r>
          </w:p>
        </w:tc>
        <w:tc>
          <w:tcPr>
            <w:tcW w:w="1900" w:type="dxa"/>
          </w:tcPr>
          <w:p>
            <w:r>
              <w:t xml:space="preserve">1488.19-20873.47</w:t>
            </w:r>
          </w:p>
        </w:tc>
        <w:tc>
          <w:tcPr>
            <w:tcW w:w="1900" w:type="dxa"/>
          </w:tcPr>
          <w:p>
            <w:r>
              <w:t xml:space="preserve">0.000084-0.344100</w:t>
            </w:r>
          </w:p>
        </w:tc>
        <w:tc>
          <w:tcPr>
            <w:tcW w:w="1900" w:type="dxa"/>
          </w:tcPr>
          <w:p>
            <w:r>
              <w:t xml:space="preserve">0.010150-0.270500</w:t>
            </w:r>
          </w:p>
        </w:tc>
      </w:tr>
    </w:tbl>
    <w:p>
      <w:pPr>
        <w:pStyle w:val="Heading2"/>
      </w:pPr>
      <w:r>
        <w:t xml:space="preserve">İrtifa seviyelerine göre örnek dağılımı</w:t>
      </w:r>
    </w:p>
    <w:p>
      <w:r>
        <w:t xml:space="preserve">Aşağıdaki tablo, temizlenmiş birleşik veri setinde irtifa seviyelerine göre örnek dağılımını göstermektedir. Bu yapı, veri kapsamının irtifa boyunca homojen olmadığını ve model davranışının farklı rejimlerde ayrıca değerlendirilmesi gerektiğini ortaya koymaktadır.</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Altitude (ft)</w:t>
            </w:r>
          </w:p>
        </w:tc>
        <w:tc>
          <w:tcPr>
            <w:tcW w:w="1800" w:type="dxa"/>
          </w:tcPr>
          <w:p>
            <w:r>
              <w:rPr>
                <w:b/>
              </w:rPr>
              <w:t xml:space="preserve">One Engine (n)</w:t>
            </w:r>
          </w:p>
        </w:tc>
        <w:tc>
          <w:tcPr>
            <w:tcW w:w="1800" w:type="dxa"/>
          </w:tcPr>
          <w:p>
            <w:r>
              <w:rPr>
                <w:b/>
              </w:rPr>
              <w:t xml:space="preserve">Two Engine (n)</w:t>
            </w:r>
          </w:p>
        </w:tc>
        <w:tc>
          <w:tcPr>
            <w:tcW w:w="1800" w:type="dxa"/>
          </w:tcPr>
          <w:p>
            <w:r>
              <w:rPr>
                <w:b/>
              </w:rPr>
              <w:t xml:space="preserve">Toplam (n)</w:t>
            </w:r>
          </w:p>
        </w:tc>
      </w:tr>
      <w:tr>
        <w:tc>
          <w:tcPr>
            <w:tcW w:w="1800" w:type="dxa"/>
          </w:tcPr>
          <w:p>
            <w:r>
              <w:t xml:space="preserve">5000</w:t>
            </w:r>
          </w:p>
        </w:tc>
        <w:tc>
          <w:tcPr>
            <w:tcW w:w="1800" w:type="dxa"/>
          </w:tcPr>
          <w:p>
            <w:r>
              <w:t xml:space="preserve">5902</w:t>
            </w:r>
          </w:p>
        </w:tc>
        <w:tc>
          <w:tcPr>
            <w:tcW w:w="1800" w:type="dxa"/>
          </w:tcPr>
          <w:p>
            <w:r>
              <w:t xml:space="preserve">4891</w:t>
            </w:r>
          </w:p>
        </w:tc>
        <w:tc>
          <w:tcPr>
            <w:tcW w:w="1800" w:type="dxa"/>
          </w:tcPr>
          <w:p>
            <w:r>
              <w:t xml:space="preserve">10793</w:t>
            </w:r>
          </w:p>
        </w:tc>
      </w:tr>
      <w:tr>
        <w:tc>
          <w:tcPr>
            <w:tcW w:w="1800" w:type="dxa"/>
          </w:tcPr>
          <w:p>
            <w:r>
              <w:t xml:space="preserve">10000</w:t>
            </w:r>
          </w:p>
        </w:tc>
        <w:tc>
          <w:tcPr>
            <w:tcW w:w="1800" w:type="dxa"/>
          </w:tcPr>
          <w:p>
            <w:r>
              <w:t xml:space="preserve">2374</w:t>
            </w:r>
          </w:p>
        </w:tc>
        <w:tc>
          <w:tcPr>
            <w:tcW w:w="1800" w:type="dxa"/>
          </w:tcPr>
          <w:p>
            <w:r>
              <w:t xml:space="preserve">4835</w:t>
            </w:r>
          </w:p>
        </w:tc>
        <w:tc>
          <w:tcPr>
            <w:tcW w:w="1800" w:type="dxa"/>
          </w:tcPr>
          <w:p>
            <w:r>
              <w:t xml:space="preserve">7209</w:t>
            </w:r>
          </w:p>
        </w:tc>
      </w:tr>
      <w:tr>
        <w:tc>
          <w:tcPr>
            <w:tcW w:w="1800" w:type="dxa"/>
          </w:tcPr>
          <w:p>
            <w:r>
              <w:t xml:space="preserve">15000</w:t>
            </w:r>
          </w:p>
        </w:tc>
        <w:tc>
          <w:tcPr>
            <w:tcW w:w="1800" w:type="dxa"/>
          </w:tcPr>
          <w:p>
            <w:r>
              <w:t xml:space="preserve">4442</w:t>
            </w:r>
          </w:p>
        </w:tc>
        <w:tc>
          <w:tcPr>
            <w:tcW w:w="1800" w:type="dxa"/>
          </w:tcPr>
          <w:p>
            <w:r>
              <w:t xml:space="preserve">4186</w:t>
            </w:r>
          </w:p>
        </w:tc>
        <w:tc>
          <w:tcPr>
            <w:tcW w:w="1800" w:type="dxa"/>
          </w:tcPr>
          <w:p>
            <w:r>
              <w:t xml:space="preserve">8628</w:t>
            </w:r>
          </w:p>
        </w:tc>
      </w:tr>
      <w:tr>
        <w:tc>
          <w:tcPr>
            <w:tcW w:w="1800" w:type="dxa"/>
          </w:tcPr>
          <w:p>
            <w:r>
              <w:t xml:space="preserve">20000</w:t>
            </w:r>
          </w:p>
        </w:tc>
        <w:tc>
          <w:tcPr>
            <w:tcW w:w="1800" w:type="dxa"/>
          </w:tcPr>
          <w:p>
            <w:r>
              <w:t xml:space="preserve">1437</w:t>
            </w:r>
          </w:p>
        </w:tc>
        <w:tc>
          <w:tcPr>
            <w:tcW w:w="1800" w:type="dxa"/>
          </w:tcPr>
          <w:p>
            <w:r>
              <w:t xml:space="preserve">2863</w:t>
            </w:r>
          </w:p>
        </w:tc>
        <w:tc>
          <w:tcPr>
            <w:tcW w:w="1800" w:type="dxa"/>
          </w:tcPr>
          <w:p>
            <w:r>
              <w:t xml:space="preserve">4300</w:t>
            </w:r>
          </w:p>
        </w:tc>
      </w:tr>
      <w:tr>
        <w:tc>
          <w:tcPr>
            <w:tcW w:w="1800" w:type="dxa"/>
          </w:tcPr>
          <w:p>
            <w:r>
              <w:t xml:space="preserve">25000</w:t>
            </w:r>
          </w:p>
        </w:tc>
        <w:tc>
          <w:tcPr>
            <w:tcW w:w="1800" w:type="dxa"/>
          </w:tcPr>
          <w:p>
            <w:r>
              <w:t xml:space="preserve">3280</w:t>
            </w:r>
          </w:p>
        </w:tc>
        <w:tc>
          <w:tcPr>
            <w:tcW w:w="1800" w:type="dxa"/>
          </w:tcPr>
          <w:p>
            <w:r>
              <w:t xml:space="preserve">2842</w:t>
            </w:r>
          </w:p>
        </w:tc>
        <w:tc>
          <w:tcPr>
            <w:tcW w:w="1800" w:type="dxa"/>
          </w:tcPr>
          <w:p>
            <w:r>
              <w:t xml:space="preserve">6122</w:t>
            </w:r>
          </w:p>
        </w:tc>
      </w:tr>
      <w:tr>
        <w:tc>
          <w:tcPr>
            <w:tcW w:w="1800" w:type="dxa"/>
          </w:tcPr>
          <w:p>
            <w:r>
              <w:t xml:space="preserve">30000</w:t>
            </w:r>
          </w:p>
        </w:tc>
        <w:tc>
          <w:tcPr>
            <w:tcW w:w="1800" w:type="dxa"/>
          </w:tcPr>
          <w:p>
            <w:r>
              <w:t xml:space="preserve">368</w:t>
            </w:r>
          </w:p>
        </w:tc>
        <w:tc>
          <w:tcPr>
            <w:tcW w:w="1800" w:type="dxa"/>
          </w:tcPr>
          <w:p>
            <w:r>
              <w:t xml:space="preserve">2311</w:t>
            </w:r>
          </w:p>
        </w:tc>
        <w:tc>
          <w:tcPr>
            <w:tcW w:w="1800" w:type="dxa"/>
          </w:tcPr>
          <w:p>
            <w:r>
              <w:t xml:space="preserve">2679</w:t>
            </w:r>
          </w:p>
        </w:tc>
      </w:tr>
      <w:tr>
        <w:tc>
          <w:tcPr>
            <w:tcW w:w="1800" w:type="dxa"/>
          </w:tcPr>
          <w:p>
            <w:r>
              <w:t xml:space="preserve">35000</w:t>
            </w:r>
          </w:p>
        </w:tc>
        <w:tc>
          <w:tcPr>
            <w:tcW w:w="1800" w:type="dxa"/>
          </w:tcPr>
          <w:p>
            <w:r>
              <w:t xml:space="preserve">222</w:t>
            </w:r>
          </w:p>
        </w:tc>
        <w:tc>
          <w:tcPr>
            <w:tcW w:w="1800" w:type="dxa"/>
          </w:tcPr>
          <w:p>
            <w:r>
              <w:t xml:space="preserve">6681</w:t>
            </w:r>
          </w:p>
        </w:tc>
        <w:tc>
          <w:tcPr>
            <w:tcW w:w="1800" w:type="dxa"/>
          </w:tcPr>
          <w:p>
            <w:r>
              <w:t xml:space="preserve">6903</w:t>
            </w:r>
          </w:p>
        </w:tc>
      </w:tr>
      <w:tr>
        <w:tc>
          <w:tcPr>
            <w:tcW w:w="1800" w:type="dxa"/>
          </w:tcPr>
          <w:p>
            <w:r>
              <w:t xml:space="preserve">40000</w:t>
            </w:r>
          </w:p>
        </w:tc>
        <w:tc>
          <w:tcPr>
            <w:tcW w:w="1800" w:type="dxa"/>
          </w:tcPr>
          <w:p>
            <w:r>
              <w:t xml:space="preserve">0</w:t>
            </w:r>
          </w:p>
        </w:tc>
        <w:tc>
          <w:tcPr>
            <w:tcW w:w="1800" w:type="dxa"/>
          </w:tcPr>
          <w:p>
            <w:r>
              <w:t xml:space="preserve">3821</w:t>
            </w:r>
          </w:p>
        </w:tc>
        <w:tc>
          <w:tcPr>
            <w:tcW w:w="1800" w:type="dxa"/>
          </w:tcPr>
          <w:p>
            <w:r>
              <w:t xml:space="preserve">3821</w:t>
            </w:r>
          </w:p>
        </w:tc>
      </w:tr>
      <w:tr>
        <w:tc>
          <w:tcPr>
            <w:tcW w:w="1800" w:type="dxa"/>
          </w:tcPr>
          <w:p>
            <w:r>
              <w:t xml:space="preserve">45000</w:t>
            </w:r>
          </w:p>
        </w:tc>
        <w:tc>
          <w:tcPr>
            <w:tcW w:w="1800" w:type="dxa"/>
          </w:tcPr>
          <w:p>
            <w:r>
              <w:t xml:space="preserve">0</w:t>
            </w:r>
          </w:p>
        </w:tc>
        <w:tc>
          <w:tcPr>
            <w:tcW w:w="1800" w:type="dxa"/>
          </w:tcPr>
          <w:p>
            <w:r>
              <w:t xml:space="preserve">3812</w:t>
            </w:r>
          </w:p>
        </w:tc>
        <w:tc>
          <w:tcPr>
            <w:tcW w:w="1800" w:type="dxa"/>
          </w:tcPr>
          <w:p>
            <w:r>
              <w:t xml:space="preserve">3812</w:t>
            </w:r>
          </w:p>
        </w:tc>
      </w:tr>
      <w:tr>
        <w:tc>
          <w:tcPr>
            <w:tcW w:w="1800" w:type="dxa"/>
          </w:tcPr>
          <w:p>
            <w:r>
              <w:t xml:space="preserve">50000</w:t>
            </w:r>
          </w:p>
        </w:tc>
        <w:tc>
          <w:tcPr>
            <w:tcW w:w="1800" w:type="dxa"/>
          </w:tcPr>
          <w:p>
            <w:r>
              <w:t xml:space="preserve">0</w:t>
            </w:r>
          </w:p>
        </w:tc>
        <w:tc>
          <w:tcPr>
            <w:tcW w:w="1800" w:type="dxa"/>
          </w:tcPr>
          <w:p>
            <w:r>
              <w:t xml:space="preserve">353</w:t>
            </w:r>
          </w:p>
        </w:tc>
        <w:tc>
          <w:tcPr>
            <w:tcW w:w="1800" w:type="dxa"/>
          </w:tcPr>
          <w:p>
            <w:r>
              <w:t xml:space="preserve">353</w:t>
            </w:r>
          </w:p>
        </w:tc>
      </w:tr>
      <w:tr>
        <w:tc>
          <w:tcPr>
            <w:tcW w:w="1800" w:type="dxa"/>
          </w:tcPr>
          <w:p>
            <w:r>
              <w:t xml:space="preserve">Toplam</w:t>
            </w:r>
          </w:p>
        </w:tc>
        <w:tc>
          <w:tcPr>
            <w:tcW w:w="1800" w:type="dxa"/>
          </w:tcPr>
          <w:p>
            <w:r>
              <w:t xml:space="preserve">18025</w:t>
            </w:r>
          </w:p>
        </w:tc>
        <w:tc>
          <w:tcPr>
            <w:tcW w:w="1800" w:type="dxa"/>
          </w:tcPr>
          <w:p>
            <w:r>
              <w:t xml:space="preserve">36595</w:t>
            </w:r>
          </w:p>
        </w:tc>
        <w:tc>
          <w:tcPr>
            <w:tcW w:w="1800" w:type="dxa"/>
          </w:tcPr>
          <w:p>
            <w:r>
              <w:t xml:space="preserve">54620</w:t>
            </w:r>
          </w:p>
        </w:tc>
      </w:tr>
    </w:tbl>
    <w:p>
      <w:pPr>
        <w:pStyle w:val="Heading1"/>
      </w:pPr>
      <w:r>
        <w:t xml:space="preserve">3. Mimari Bileşenler</w:t>
      </w:r>
    </w:p>
    <w:p>
      <w:r>
        <w:t xml:space="preserve">Tabular Transformer ailesi içinde iki ana yaklaşım öne çıkar: TabTransformer ve FT-Transformer. TabTransformer, özellikle kategorik özellikleri bağlamsal embeddinglere dönüştürmeye odaklanır. FT-Transformer ise bir adım daha ileri giderek sayısal ve kategorik tüm özellikleri ortak tokenlar halinde temsil eder. Bu fark önemlidir; çünkü bizim problemimizde irtifa, Mach, yakıt akışı ve ağırlık gibi sayısal değişkenler doğrudan modelin merkezindedir.</w:t>
      </w:r>
    </w:p>
    <w:p>
      <w:r>
        <w:t xml:space="preserve">Bu projede veri yapısı büyük ölçüde sayısal özelliklerden oluştuğu ve problem çoklu irtifa rejimlerine yayılan bir performans yüzeyi olduğu için FT-Transformer daha uygun adaydır. Çünkü FT-Transformer, yalnızca tek tek kolonların etkisini değil; irtifa–Mach, gross_weight–drag_index veya fuel_flow–engine_type gibi etkileşimleri de self-attention mekanizması içinde birlikte modelleyebilir.</w:t>
      </w:r>
    </w:p>
    <w:p>
      <w:r>
        <w:t xml:space="preserve">Kısacası bu bölümün özeti şudur: TabTransformer daha çok kategorik kolonları bağlamsallaştırırken, FT-Transformer tüm kolonları ortak bir dilde konuşturur. Bu da bizim veri tipimiz için daha doğal bir eşleşme sunar.</w:t>
      </w:r>
    </w:p>
    <w:p>
      <w:pPr>
        <w:pStyle w:val="Heading1"/>
      </w:pPr>
      <w:r>
        <w:t xml:space="preserve">4. Katmanlar ve Veri Akışı</w:t>
      </w:r>
    </w:p>
    <w:p>
      <w:r>
        <w:t xml:space="preserve">Modelin veri akışı sezgisel olarak dört adımda düşünülebilir: önce veri temizlenir ve ortak biçime getirilir; sonra her kolon bir token veya embedding temsiline dönüştürülür; ardından bu tokenlar Transformer encoder bloklarından geçirilir; son olarak [CLS] tokeninden üretilen temsil regresyon başlığına verilerek specific range tahmini elde edilir.</w:t>
      </w:r>
    </w:p>
    <w:p>
      <w:r>
        <w:t xml:space="preserve">Buradaki kritik fikir şudur: klasik bir tabloda her kolon ayrı dururken, FT-Transformer bu kolonları aynı temsil uzayına taşır. Böylece model, örneğin bir satırdaki irtifa değişince Mach ile fuel_flow ilişkisinin de nasıl değiştiğini birlikte görebilir. Uçuş performansı gibi kuvvetli değişken etkileşimleri içeren problemlerde bu, önemli bir avantajdır.</w:t>
      </w:r>
    </w:p>
    <w:p>
      <w:pPr>
        <w:jc w:val="center"/>
      </w:pPr>
      <w:r>
        <w:drawing>
          <wp:inline distT="0" distB="0" distL="0" distR="0">
            <wp:extent cx="5943600" cy="2071681"/>
            <wp:docPr id="102" name="report_ft_pipeline.png"/>
            <a:graphic>
              <a:graphicData uri="http://schemas.openxmlformats.org/drawingml/2006/picture">
                <pic:pic>
                  <pic:nvPicPr>
                    <pic:cNvPr id="102" name="report_ft_pipeline.png"/>
                    <pic:cNvPicPr/>
                  </pic:nvPicPr>
                  <pic:blipFill>
                    <a:blip r:embed="rId3"/>
                    <a:stretch>
                      <a:fillRect/>
                    </a:stretch>
                  </pic:blipFill>
                  <pic:spPr>
                    <a:xfrm>
                      <a:off x="0" y="0"/>
                      <a:ext cx="5943600" cy="2071681"/>
                    </a:xfrm>
                    <a:prstGeom prst="rect">
                      <a:avLst/>
                    </a:prstGeom>
                  </pic:spPr>
                </pic:pic>
              </a:graphicData>
            </a:graphic>
          </wp:inline>
        </w:drawing>
      </w:r>
    </w:p>
    <w:p>
      <w:pPr>
        <w:pStyle w:val="Caption"/>
        <w:jc w:val="center"/>
      </w:pPr>
      <w:r>
        <w:t xml:space="preserve">Şekil 2. FT-Transformer genel veri akis semasi. Sema, Gorishniy vd. (2021) Fig. 1-2 mantigi temel alinarak proje icin yeniden cizilmistir.</w:t>
      </w:r>
    </w:p>
    <w:p>
      <w:pPr>
        <w:pStyle w:val="Heading1"/>
      </w:pPr>
      <w:r>
        <w:t xml:space="preserve">5. Tokenizasyon Matematiği ve Sayısal/Kategorik Örnekler</w:t>
      </w:r>
    </w:p>
    <w:p>
      <w:r>
        <w:t xml:space="preserve">FT-Transformer’da her kolon, modelin anlayabileceği sabit uzunlukta bir vektöre çevrilir. Bu işleme tokenizasyon denir. Sayısal özelliklerde bu dönüşüm, ham sayının öğrenilebilir bir projeksiyonla çarpılması şeklinde düşünülebilir. Kategorik özelliklerde ise ilgili kategori için uygun embedding satırı seçilir.</w:t>
      </w:r>
    </w:p>
    <w:p>
      <w:r>
        <w:t xml:space="preserve">Bu projede engine_type kategorik, altitude, gross_weight, mach ve fuel_flow ise sayısal özellikler olarak ele alınmıştır. Drag index değişkeni veri temsil tercihlerine göre sayısal ya da kategorik şekilde modellenebilir; pratikte iki yaklaşım da düşünülebilir. Ama hangi temsil seçilirse seçilsin amaç aynıdır: farklı kolonları ortak boyutta bir token dizisine dönüştürmek.</w:t>
      </w:r>
    </w:p>
    <w:p>
      <w:r>
        <w:t xml:space="preserve">Aşağıdaki denklemler bu dönüşümün matematiksel karşılığını vermektedir. Okuyucu açısından önemli olan sezgi şudur: her kolon, modelin okuyabildiği ortak boyutlu bir temsile çevrilir; sonra bu temsil dizisi self-attention katmanlarına verilir.</w:t>
      </w:r>
    </w:p>
    <w:p>
      <w:pPr>
        <w:jc w:val="center"/>
      </w:pPr>
      <m:oMath xmlns:m="http://schemas.openxmlformats.org/officeDocument/2006/math">
        <m:sSub>
          <m:e>
            <m:r>
              <m:t>T</m:t>
            </m:r>
          </m:e>
          <m:sub>
            <m:r>
              <m:t>j</m:t>
            </m:r>
          </m:sub>
        </m:sSub>
        <m:r>
          <m:t>=</m:t>
        </m:r>
        <m:sSub>
          <m:e>
            <m:r>
              <m:t>b</m:t>
            </m:r>
          </m:e>
          <m:sub>
            <m:r>
              <m:t>j</m:t>
            </m:r>
          </m:sub>
        </m:sSub>
        <m:r>
          <m:t>+</m:t>
        </m:r>
        <m:sSub>
          <m:e>
            <m:r>
              <m:t>f</m:t>
            </m:r>
          </m:e>
          <m:sub>
            <m:r>
              <m:t>j</m:t>
            </m:r>
          </m:sub>
        </m:sSub>
        <m:r>
          <m:t>(</m:t>
        </m:r>
        <m:sSub>
          <m:e>
            <m:r>
              <m:t>x</m:t>
            </m:r>
          </m:e>
          <m:sub>
            <m:r>
              <m:t>j</m:t>
            </m:r>
          </m:sub>
        </m:sSub>
        <m:r>
          <m:t>),</m:t>
        </m:r>
        <m:sSub>
          <m:e>
            <m:r>
              <m:t>T</m:t>
            </m:r>
          </m:e>
          <m:sub>
            <m:r>
              <m:t>j</m:t>
            </m:r>
          </m:sub>
        </m:sSub>
        <m:r>
          <m:t>∈</m:t>
        </m:r>
        <m:sSup>
          <m:e>
            <m:r>
              <m:t>ℝ</m:t>
            </m:r>
          </m:e>
          <m:sup>
            <m:sSub>
              <m:e>
                <m:r>
                  <m:t>d</m:t>
                </m:r>
              </m:e>
              <m:sub>
                <m:r>
                  <m:t>model</m:t>
                </m:r>
              </m:sub>
            </m:sSub>
          </m:sup>
        </m:sSup>
      </m:oMath>
    </w:p>
    <w:p>
      <w:pPr>
        <w:pStyle w:val="Caption"/>
        <w:jc w:val="center"/>
      </w:pPr>
      <w:r>
        <w:t xml:space="preserve">Denklem 2. Genel feature tokenizer tanımı.</w:t>
      </w:r>
    </w:p>
    <w:p>
      <w:r>
        <w:t xml:space="preserve">Burada x_j ilgili özelliğin ham girdisini, f_j(.) ise bu girdiyi d_model boyutlu temsil uzayına taşıyan dönüşümü ifade etmektedir. Bu yapı sayesinde sayısal ve kategorik değişkenler, ortak bir token dizisi içinde birlikte işlenebilmektedir.</w:t>
      </w:r>
    </w:p>
    <w:p>
      <w:pPr>
        <w:jc w:val="center"/>
      </w:pPr>
      <m:oMath xmlns:m="http://schemas.openxmlformats.org/officeDocument/2006/math">
        <m:sSubSup>
          <m:e>
            <m:r>
              <m:t>T</m:t>
            </m:r>
          </m:e>
          <m:sub>
            <m:r>
              <m:t>j</m:t>
            </m:r>
          </m:sub>
          <m:sup>
            <m:r>
              <m:t>num</m:t>
            </m:r>
          </m:sup>
        </m:sSubSup>
        <m:r>
          <m:t>=</m:t>
        </m:r>
        <m:sSubSup>
          <m:e>
            <m:r>
              <m:t>b</m:t>
            </m:r>
          </m:e>
          <m:sub>
            <m:r>
              <m:t>j</m:t>
            </m:r>
          </m:sub>
          <m:sup>
            <m:r>
              <m:t>num</m:t>
            </m:r>
          </m:sup>
        </m:sSubSup>
        <m:r>
          <m:t>+</m:t>
        </m:r>
        <m:sSubSup>
          <m:e>
            <m:r>
              <m:t>x</m:t>
            </m:r>
          </m:e>
          <m:sub>
            <m:r>
              <m:t>j</m:t>
            </m:r>
          </m:sub>
          <m:sup>
            <m:r>
              <m:t>num</m:t>
            </m:r>
          </m:sup>
        </m:sSubSup>
        <m:sSubSup>
          <m:e>
            <m:r>
              <m:t>W</m:t>
            </m:r>
          </m:e>
          <m:sub>
            <m:r>
              <m:t>j</m:t>
            </m:r>
          </m:sub>
          <m:sup>
            <m:r>
              <m:t>num</m:t>
            </m:r>
          </m:sup>
        </m:sSubSup>
      </m:oMath>
    </w:p>
    <w:p>
      <w:pPr>
        <w:pStyle w:val="Caption"/>
        <w:jc w:val="center"/>
      </w:pPr>
      <w:r>
        <w:t xml:space="preserve">Denklem 3. Sayısal özellikler için token üretimi.</w:t>
      </w:r>
    </w:p>
    <w:p>
      <w:pPr>
        <w:jc w:val="center"/>
      </w:pPr>
      <m:oMath xmlns:m="http://schemas.openxmlformats.org/officeDocument/2006/math">
        <m:sSubSup>
          <m:e>
            <m:r>
              <m:t>T</m:t>
            </m:r>
          </m:e>
          <m:sub>
            <m:r>
              <m:t>j</m:t>
            </m:r>
          </m:sub>
          <m:sup>
            <m:r>
              <m:t>cat</m:t>
            </m:r>
          </m:sup>
        </m:sSubSup>
        <m:r>
          <m:t>=</m:t>
        </m:r>
        <m:sSubSup>
          <m:e>
            <m:r>
              <m:t>b</m:t>
            </m:r>
          </m:e>
          <m:sub>
            <m:r>
              <m:t>j</m:t>
            </m:r>
          </m:sub>
          <m:sup>
            <m:r>
              <m:t>cat</m:t>
            </m:r>
          </m:sup>
        </m:sSubSup>
        <m:r>
          <m:t>+</m:t>
        </m:r>
        <m:sSubSup>
          <m:e>
            <m:r>
              <m:t>e</m:t>
            </m:r>
          </m:e>
          <m:sub>
            <m:r>
              <m:t>j</m:t>
            </m:r>
          </m:sub>
          <m:sup>
            <m:r>
              <m:t>T</m:t>
            </m:r>
          </m:sup>
        </m:sSubSup>
        <m:sSubSup>
          <m:e>
            <m:r>
              <m:t>W</m:t>
            </m:r>
          </m:e>
          <m:sub>
            <m:r>
              <m:t>j</m:t>
            </m:r>
          </m:sub>
          <m:sup>
            <m:r>
              <m:t>cat</m:t>
            </m:r>
          </m:sup>
        </m:sSubSup>
      </m:oMath>
    </w:p>
    <w:p>
      <w:pPr>
        <w:pStyle w:val="Caption"/>
        <w:jc w:val="center"/>
      </w:pPr>
      <w:r>
        <w:t xml:space="preserve">Denklem 4. Kategorik özellikler için token üretimi.</w:t>
      </w:r>
    </w:p>
    <w:p>
      <w:pPr>
        <w:jc w:val="center"/>
      </w:pPr>
      <m:oMath xmlns:m="http://schemas.openxmlformats.org/officeDocument/2006/math">
        <m:r>
          <m:t>T=</m:t>
        </m:r>
        <m:r>
          <m:rPr>
            <m:sty m:val="p"/>
          </m:rPr>
          <m:t>stack</m:t>
        </m:r>
        <m:r>
          <m:t>([</m:t>
        </m:r>
        <m:sSub>
          <m:e>
            <m:r>
              <m:t>T</m:t>
            </m:r>
          </m:e>
          <m:sub>
            <m:r>
              <m:t>1</m:t>
            </m:r>
          </m:sub>
        </m:sSub>
        <m:r>
          <m:t>,…,</m:t>
        </m:r>
        <m:sSub>
          <m:e>
            <m:r>
              <m:t>T</m:t>
            </m:r>
          </m:e>
          <m:sub>
            <m:r>
              <m:t>k</m:t>
            </m:r>
          </m:sub>
        </m:sSub>
        <m:r>
          <m:t>])∈</m:t>
        </m:r>
        <m:sSup>
          <m:e>
            <m:r>
              <m:t>ℝ</m:t>
            </m:r>
          </m:e>
          <m:sup>
            <m:r>
              <m:t>k×</m:t>
            </m:r>
            <m:sSub>
              <m:e>
                <m:r>
                  <m:t>d</m:t>
                </m:r>
              </m:e>
              <m:sub>
                <m:r>
                  <m:t>model</m:t>
                </m:r>
              </m:sub>
            </m:sSub>
          </m:sup>
        </m:sSup>
      </m:oMath>
    </w:p>
    <w:p>
      <w:pPr>
        <w:pStyle w:val="Caption"/>
        <w:jc w:val="center"/>
      </w:pPr>
      <w:r>
        <w:t xml:space="preserve">Denklem 5. Token matrisinin oluşturulması.</w:t>
      </w:r>
    </w:p>
    <w:p>
      <w:r>
        <w:t xml:space="preserve">Bu tokenizasyon yapısı, uçuş performans verilerinde önemli olan kolonlar arası ilişkilerin ortak bir temsil uzayında öğrenilmesini mümkün kılmaktadır. Başka bir ifadeyle model, yalnızca tek tek değişkenlerin etkisini değil; irtifa–Mach, gross_weight–drag_index ve fuel_flow–engine_type gibi etkileşimleri de encoder katmanları içinde birlikte işleyebilecek bir temele sahip olmaktadır.</w:t>
      </w:r>
    </w:p>
    <w:p>
      <w:pPr>
        <w:pStyle w:val="Heading1"/>
      </w:pPr>
      <w:r>
        <w:t xml:space="preserve">6. Transformer Encoder Bloğu: MHSA, FFN, LayerNorm ve Residual Akışı</w:t>
      </w:r>
    </w:p>
    <w:p>
      <w:r>
        <w:t xml:space="preserve">Transformer encoder katmanının temelini, çok başlıklı öz-dikkat mekanizması (Multi-Head Self-Attention, MHSA) ile beslemeli ileri ağ (Feed-Forward Network, FFN) blokları oluşturmaktadır. Öz-dikkat mekanizmasının temel ifadesi aşağıdaki gibi tanımlanır.</w:t>
      </w:r>
    </w:p>
    <w:p>
      <w:pPr>
        <w:jc w:val="center"/>
      </w:pPr>
      <m:oMath xmlns:m="http://schemas.openxmlformats.org/officeDocument/2006/math">
        <m:r>
          <m:rPr>
            <m:sty m:val="p"/>
          </m:rPr>
          <m:t>Attention</m:t>
        </m:r>
        <m:r>
          <m:t>(Q,K,V)=</m:t>
        </m:r>
        <m:r>
          <m:rPr>
            <m:sty m:val="p"/>
          </m:rPr>
          <m:t>softmax</m:t>
        </m:r>
        <m:r>
          <m:t>(</m:t>
        </m:r>
        <m:f>
          <m:fPr>
            <m:type m:val="bar"/>
          </m:fPr>
          <m:num>
            <m:r>
              <m:t>Q</m:t>
            </m:r>
            <m:sSup>
              <m:e>
                <m:r>
                  <m:t>K</m:t>
                </m:r>
              </m:e>
              <m:sup>
                <m:r>
                  <m:t>T</m:t>
                </m:r>
              </m:sup>
            </m:sSup>
          </m:num>
          <m:den>
            <m:rad>
              <m:radPr>
                <m:degHide m:val="on"/>
              </m:radPr>
              <m:deg/>
              <m:e>
                <m:sSub>
                  <m:e>
                    <m:r>
                      <m:t>d</m:t>
                    </m:r>
                  </m:e>
                  <m:sub>
                    <m:r>
                      <m:t>k</m:t>
                    </m:r>
                  </m:sub>
                </m:sSub>
              </m:e>
            </m:rad>
          </m:den>
        </m:f>
        <m:r>
          <m:t>)V</m:t>
        </m:r>
      </m:oMath>
    </w:p>
    <w:p>
      <w:pPr>
        <w:pStyle w:val="Caption"/>
        <w:jc w:val="center"/>
      </w:pPr>
      <w:r>
        <w:t xml:space="preserve">Denklem 6. Temel öz-dikkat ifadesi.</w:t>
      </w:r>
    </w:p>
    <w:p>
      <w:pPr>
        <w:jc w:val="center"/>
      </w:pPr>
      <m:oMath xmlns:m="http://schemas.openxmlformats.org/officeDocument/2006/math">
        <m:r>
          <m:rPr>
            <m:sty m:val="p"/>
          </m:rPr>
          <m:t>FFN</m:t>
        </m:r>
        <m:r>
          <m:t>(z)=</m:t>
        </m:r>
        <m:sSub>
          <m:e>
            <m:r>
              <m:t>W</m:t>
            </m:r>
          </m:e>
          <m:sub>
            <m:r>
              <m:t>2</m:t>
            </m:r>
          </m:sub>
        </m:sSub>
        <m:r>
          <m:t>σ(</m:t>
        </m:r>
        <m:sSub>
          <m:e>
            <m:r>
              <m:t>W</m:t>
            </m:r>
          </m:e>
          <m:sub>
            <m:r>
              <m:t>1</m:t>
            </m:r>
          </m:sub>
        </m:sSub>
        <m:r>
          <m:t>z+</m:t>
        </m:r>
        <m:sSub>
          <m:e>
            <m:r>
              <m:t>b</m:t>
            </m:r>
          </m:e>
          <m:sub>
            <m:r>
              <m:t>1</m:t>
            </m:r>
          </m:sub>
        </m:sSub>
        <m:r>
          <m:t>)+</m:t>
        </m:r>
        <m:sSub>
          <m:e>
            <m:r>
              <m:t>b</m:t>
            </m:r>
          </m:e>
          <m:sub>
            <m:r>
              <m:t>2</m:t>
            </m:r>
          </m:sub>
        </m:sSub>
      </m:oMath>
    </w:p>
    <w:p>
      <w:pPr>
        <w:pStyle w:val="Caption"/>
        <w:jc w:val="center"/>
      </w:pPr>
      <w:r>
        <w:t xml:space="preserve">Denklem 7. Beslemeli ileri ağ bloğu.</w:t>
      </w:r>
    </w:p>
    <w:p>
      <w:pPr>
        <w:jc w:val="center"/>
      </w:pPr>
      <m:oMath xmlns:m="http://schemas.openxmlformats.org/officeDocument/2006/math">
        <m:sSup>
          <m:e>
            <m:r>
              <m:t>Z</m:t>
            </m:r>
          </m:e>
          <m:sup>
            <m:r>
              <m:t>′</m:t>
            </m:r>
          </m:sup>
        </m:sSup>
        <m:r>
          <m:t>=Z+</m:t>
        </m:r>
        <m:r>
          <m:rPr>
            <m:sty m:val="p"/>
          </m:rPr>
          <m:t>Dropout</m:t>
        </m:r>
        <m:r>
          <m:t>(</m:t>
        </m:r>
        <m:r>
          <m:rPr>
            <m:sty m:val="p"/>
          </m:rPr>
          <m:t>MHSA</m:t>
        </m:r>
        <m:r>
          <m:t>(</m:t>
        </m:r>
        <m:r>
          <m:rPr>
            <m:sty m:val="p"/>
          </m:rPr>
          <m:t>LN</m:t>
        </m:r>
        <m:r>
          <m:t>(Z)))</m:t>
        </m:r>
      </m:oMath>
    </w:p>
    <w:p>
      <w:pPr>
        <w:pStyle w:val="Caption"/>
        <w:jc w:val="center"/>
      </w:pPr>
      <w:r>
        <w:t xml:space="preserve">Denklem 8. Pre-norm encoder akışının ilk residual adımı.</w:t>
      </w:r>
    </w:p>
    <w:p>
      <w:pPr>
        <w:jc w:val="center"/>
      </w:pPr>
      <m:oMath xmlns:m="http://schemas.openxmlformats.org/officeDocument/2006/math">
        <m:sSub>
          <m:e>
            <m:r>
              <m:t>Z</m:t>
            </m:r>
          </m:e>
          <m:sub>
            <m:r>
              <m:t>new</m:t>
            </m:r>
          </m:sub>
        </m:sSub>
        <m:r>
          <m:t>=</m:t>
        </m:r>
        <m:sSup>
          <m:e>
            <m:r>
              <m:t>Z</m:t>
            </m:r>
          </m:e>
          <m:sup>
            <m:r>
              <m:t>′</m:t>
            </m:r>
          </m:sup>
        </m:sSup>
        <m:r>
          <m:t>+</m:t>
        </m:r>
        <m:r>
          <m:rPr>
            <m:sty m:val="p"/>
          </m:rPr>
          <m:t>Dropout</m:t>
        </m:r>
        <m:r>
          <m:t>(</m:t>
        </m:r>
        <m:r>
          <m:rPr>
            <m:sty m:val="p"/>
          </m:rPr>
          <m:t>FFN</m:t>
        </m:r>
        <m:r>
          <m:t>(</m:t>
        </m:r>
        <m:r>
          <m:rPr>
            <m:sty m:val="p"/>
          </m:rPr>
          <m:t>LN</m:t>
        </m:r>
        <m:r>
          <m:t>(</m:t>
        </m:r>
        <m:sSup>
          <m:e>
            <m:r>
              <m:t>Z</m:t>
            </m:r>
          </m:e>
          <m:sup>
            <m:r>
              <m:t>′</m:t>
            </m:r>
          </m:sup>
        </m:sSup>
        <m:r>
          <m:t>)))</m:t>
        </m:r>
      </m:oMath>
    </w:p>
    <w:p>
      <w:pPr>
        <w:pStyle w:val="Caption"/>
        <w:jc w:val="center"/>
      </w:pPr>
      <w:r>
        <w:t xml:space="preserve">Denklem 9. Pre-norm encoder akışının ikinci residual adımı.</w:t>
      </w:r>
    </w:p>
    <w:p>
      <w:r>
        <w:t xml:space="preserve">Bu yapı, öğrenmenin daha kararlı hâle gelmesini sağlamakta ve derin katmanlarda bilgi akışının korunmasına yardımcı olmaktadır. Residual bağlantılar, giriş temsilinin tamamen kaybolmasını önlerken; LayerNorm, katmanlar boyunca sayısal ölçeğin dengelenmesine katkı sunmaktadır. MHSA bloğu yaklaşık O(T²) ölçeğinde dikkat matrisi maliyeti taşırken, FFN bloğunda yük daha çok d_ff ve d_model ile ölçeklenen matris çarpımlarında yoğunlaşmaktadır.</w:t>
      </w:r>
    </w:p>
    <w:p>
      <w:pPr>
        <w:jc w:val="center"/>
      </w:pPr>
      <w:r>
        <w:drawing>
          <wp:inline distT="0" distB="0" distL="0" distR="0">
            <wp:extent cx="5943600" cy="1982053"/>
            <wp:docPr id="103" name="report_encoder_block.png"/>
            <a:graphic>
              <a:graphicData uri="http://schemas.openxmlformats.org/drawingml/2006/picture">
                <pic:pic>
                  <pic:nvPicPr>
                    <pic:cNvPr id="103" name="report_encoder_block.png"/>
                    <pic:cNvPicPr/>
                  </pic:nvPicPr>
                  <pic:blipFill>
                    <a:blip r:embed="rId4"/>
                    <a:stretch>
                      <a:fillRect/>
                    </a:stretch>
                  </pic:blipFill>
                  <pic:spPr>
                    <a:xfrm>
                      <a:off x="0" y="0"/>
                      <a:ext cx="5943600" cy="1982053"/>
                    </a:xfrm>
                    <a:prstGeom prst="rect">
                      <a:avLst/>
                    </a:prstGeom>
                  </pic:spPr>
                </pic:pic>
              </a:graphicData>
            </a:graphic>
          </wp:inline>
        </w:drawing>
      </w:r>
    </w:p>
    <w:p>
      <w:pPr>
        <w:pStyle w:val="Caption"/>
        <w:jc w:val="center"/>
      </w:pPr>
      <w:r>
        <w:t xml:space="preserve">Şekil 3. Transformer encoder blogunun sadelestirilmis akis semasi. Sema, Vaswani vd. (2017) encoder mantigi ile FT-Transformer uygulamasinin birlestirilmis yorumudur.</w:t>
      </w:r>
    </w:p>
    <w:p>
      <w:pPr>
        <w:pStyle w:val="Heading1"/>
      </w:pPr>
      <w:r>
        <w:t xml:space="preserve">7. Hiperparametreler ve Donanım Kısıtları</w:t>
      </w:r>
    </w:p>
    <w:p>
      <w:r>
        <w:t xml:space="preserve">FT-Transformer mimarisinde ayarlanan temel hiperparametreler; encoder katman sayısı L, dikkat başlığı sayısı h, model boyutu d_model, FFN genişliği d_ff, dropout oranı ve öğrenme oranı olarak tanımlanmıştır. Bu parametreler yalnızca model doğruluğunu değil, aynı zamanda çıkarım süresi ve model boyutunu da etkilediğinden, seçim süreci doğruluk–hız–boyut ödünleşimi altında değerlendirilmiştir.</w:t>
      </w:r>
    </w:p>
    <w:p>
      <w:pPr>
        <w:jc w:val="center"/>
      </w:pPr>
      <m:oMath xmlns:m="http://schemas.openxmlformats.org/officeDocument/2006/math">
        <m:sSub>
          <m:e>
            <m:r>
              <m:t>P</m:t>
            </m:r>
          </m:e>
          <m:sub>
            <m:r>
              <m:t>block</m:t>
            </m:r>
          </m:sub>
        </m:sSub>
        <m:r>
          <m:t>≈4</m:t>
        </m:r>
        <m:sSup>
          <m:e>
            <m:sSub>
              <m:e>
                <m:r>
                  <m:t>d</m:t>
                </m:r>
              </m:e>
              <m:sub>
                <m:r>
                  <m:t>model</m:t>
                </m:r>
              </m:sub>
            </m:sSub>
          </m:e>
          <m:sup>
            <m:r>
              <m:t>2</m:t>
            </m:r>
          </m:sup>
        </m:sSup>
        <m:r>
          <m:t>+2</m:t>
        </m:r>
        <m:sSub>
          <m:e>
            <m:r>
              <m:t>d</m:t>
            </m:r>
          </m:e>
          <m:sub>
            <m:r>
              <m:t>model</m:t>
            </m:r>
          </m:sub>
        </m:sSub>
        <m:sSub>
          <m:e>
            <m:r>
              <m:t>d</m:t>
            </m:r>
          </m:e>
          <m:sub>
            <m:r>
              <m:t>ff</m:t>
            </m:r>
          </m:sub>
        </m:sSub>
      </m:oMath>
    </w:p>
    <w:p>
      <w:pPr>
        <w:pStyle w:val="Caption"/>
        <w:jc w:val="center"/>
      </w:pPr>
      <w:r>
        <w:t xml:space="preserve">Denklem 10. Bir encoder bloğu için yaklaşık parametre sayısı.</w:t>
      </w:r>
    </w:p>
    <w:p>
      <w:pPr>
        <w:jc w:val="center"/>
      </w:pPr>
      <m:oMath xmlns:m="http://schemas.openxmlformats.org/officeDocument/2006/math">
        <m:sSub>
          <m:e>
            <m:r>
              <m:t>P</m:t>
            </m:r>
          </m:e>
          <m:sub>
            <m:r>
              <m:t>total</m:t>
            </m:r>
          </m:sub>
        </m:sSub>
        <m:r>
          <m:t>≈L⋅</m:t>
        </m:r>
        <m:sSub>
          <m:e>
            <m:r>
              <m:t>P</m:t>
            </m:r>
          </m:e>
          <m:sub>
            <m:r>
              <m:t>block</m:t>
            </m:r>
          </m:sub>
        </m:sSub>
        <m:r>
          <m:t>+</m:t>
        </m:r>
        <m:sSub>
          <m:e>
            <m:r>
              <m:t>P</m:t>
            </m:r>
          </m:e>
          <m:sub>
            <m:r>
              <m:t>tokenizer</m:t>
            </m:r>
          </m:sub>
        </m:sSub>
        <m:r>
          <m:t>+</m:t>
        </m:r>
        <m:sSub>
          <m:e>
            <m:r>
              <m:t>P</m:t>
            </m:r>
          </m:e>
          <m:sub>
            <m:r>
              <m:t>head</m:t>
            </m:r>
          </m:sub>
        </m:sSub>
      </m:oMath>
    </w:p>
    <w:p>
      <w:pPr>
        <w:pStyle w:val="Caption"/>
        <w:jc w:val="center"/>
      </w:pPr>
      <w:r>
        <w:t xml:space="preserve">Denklem 11. Toplam model parametre sayısının yaklaşık ifadesi.</w:t>
      </w:r>
    </w:p>
    <w:p>
      <w:r>
        <w:t xml:space="preserve">Bu yaklaşım, daha büyük modellerin daha yüksek temsil gücü sunsa da edge hedefleri altında her zaman en uygun çözüm olmayabileceğini göstermektedir. Model tasarımında yalnızca doğruluk artışı değil, aynı zamanda NVIDIA Jetson sınıfı edge platformlarda yönetilebilir çıkarım gecikmesi, bellek kullanımı ve model boyutu da hedeflenmiştir. Bu nedenle ONNX ve TensorRT tabanlı dağıtım hattı ile INT8 nicemleme seçenekleri tasarımın doğal uzantısı olarak ele alınmıştır.</w:t>
      </w:r>
    </w:p>
    <w:p>
      <w:pPr>
        <w:pStyle w:val="Heading1"/>
      </w:pPr>
      <w:r>
        <w:t xml:space="preserve">8. PSO ile Hiperparametre Optimizasyonu</w:t>
      </w:r>
    </w:p>
    <w:p>
      <w:r>
        <w:t xml:space="preserve">FT-Transformer hiperparametre uzayı ayrık ve sürekli değişkenleri birlikte içerdiğinden, klasik grid arama yaklaşımı yerine türev gerektirmeyen ve çok amaçlı optimizasyona uygun bir yöntem tercih edilmiştir. Bu bağlamda Particle Swarm Optimization (PSO), doğruluk ile birlikte gecikme ve boyut hedeflerini de dikkate alan arama mekanizması olarak kullanılmıştır.</w:t>
      </w:r>
    </w:p>
    <w:p>
      <w:r>
        <w:t xml:space="preserve">PSO’da her parçacık bir hiperparametre vektörünü temsil etmekte, parçacıklar arama uzayında hem kendi geçmiş en iyi konumlarına hem de sürünün en iyi çözümüne göre güncellenmektedir. Ayrık hiperparametreler için projeksiyon yaklaşımı kullanılmış; sürekli uzayda güncellenen değerler her iterasyonda geçerli ayrık kümelere yuvarlanarak mimari tutarlılık korunmuştur.</w:t>
      </w:r>
    </w:p>
    <w:p>
      <w:pPr>
        <w:jc w:val="center"/>
      </w:pPr>
      <m:oMath xmlns:m="http://schemas.openxmlformats.org/officeDocument/2006/math">
        <m:r>
          <m:t>J(θ)=</m:t>
        </m:r>
        <m:sSub>
          <m:e>
            <m:r>
              <m:t>w</m:t>
            </m:r>
          </m:e>
          <m:sub>
            <m:r>
              <m:t>1</m:t>
            </m:r>
          </m:sub>
        </m:sSub>
        <m:f>
          <m:fPr>
            <m:type m:val="bar"/>
          </m:fPr>
          <m:num>
            <m:r>
              <m:rPr>
                <m:sty m:val="p"/>
              </m:rPr>
              <m:t>RMSE</m:t>
            </m:r>
            <m:r>
              <m:t>(θ)</m:t>
            </m:r>
          </m:num>
          <m:den>
            <m:sSub>
              <m:e>
                <m:r>
                  <m:rPr>
                    <m:sty m:val="p"/>
                  </m:rPr>
                  <m:t>RMSE</m:t>
                </m:r>
              </m:e>
              <m:sub>
                <m:r>
                  <m:t>ref</m:t>
                </m:r>
              </m:sub>
            </m:sSub>
          </m:den>
        </m:f>
        <m:r>
          <m:t>+</m:t>
        </m:r>
        <m:sSub>
          <m:e>
            <m:r>
              <m:t>w</m:t>
            </m:r>
          </m:e>
          <m:sub>
            <m:r>
              <m:t>2</m:t>
            </m:r>
          </m:sub>
        </m:sSub>
        <m:f>
          <m:fPr>
            <m:type m:val="bar"/>
          </m:fPr>
          <m:num>
            <m:sSub>
              <m:e>
                <m:r>
                  <m:t>T</m:t>
                </m:r>
              </m:e>
              <m:sub>
                <m:r>
                  <m:t>inf</m:t>
                </m:r>
              </m:sub>
            </m:sSub>
            <m:r>
              <m:t>(θ)</m:t>
            </m:r>
          </m:num>
          <m:den>
            <m:sSub>
              <m:e>
                <m:r>
                  <m:t>T</m:t>
                </m:r>
              </m:e>
              <m:sub>
                <m:r>
                  <m:t>ref</m:t>
                </m:r>
              </m:sub>
            </m:sSub>
          </m:den>
        </m:f>
        <m:r>
          <m:t>+</m:t>
        </m:r>
        <m:sSub>
          <m:e>
            <m:r>
              <m:t>w</m:t>
            </m:r>
          </m:e>
          <m:sub>
            <m:r>
              <m:t>3</m:t>
            </m:r>
          </m:sub>
        </m:sSub>
        <m:f>
          <m:fPr>
            <m:type m:val="bar"/>
          </m:fPr>
          <m:num>
            <m:r>
              <m:t>S(θ)</m:t>
            </m:r>
          </m:num>
          <m:den>
            <m:sSub>
              <m:e>
                <m:r>
                  <m:t>S</m:t>
                </m:r>
              </m:e>
              <m:sub>
                <m:r>
                  <m:t>ref</m:t>
                </m:r>
              </m:sub>
            </m:sSub>
          </m:den>
        </m:f>
      </m:oMath>
    </w:p>
    <w:p>
      <w:pPr>
        <w:pStyle w:val="Caption"/>
        <w:jc w:val="center"/>
      </w:pPr>
      <w:r>
        <w:t xml:space="preserve">Denklem 12. Çok amaçlı PSO maliyet fonksiyonu.</w:t>
      </w:r>
    </w:p>
    <w:p>
      <w:r>
        <w:t xml:space="preserve">Burada RMSE(theta) doğruluk bileşenini, T_inf(theta) çıkarım süresini ve S(theta) model boyutunu temsil etmektedir. Böylece PSO araması, yalnızca en düşük hatayı veren modeli değil; aynı zamanda gecikme ve boyut açısından daha dengeli çözümleri de değerlendirebilmektedir.</w:t>
      </w:r>
    </w:p>
    <w:p>
      <w:pPr>
        <w:pStyle w:val="Heading1"/>
      </w:pPr>
      <w:r>
        <w:t xml:space="preserve">9. PSO Akışı, Deney Tasarımı ve Kıyaslama</w:t>
      </w:r>
    </w:p>
    <w:p>
      <w:r>
        <w:t xml:space="preserve">PSO tabanlı hiperparametre optimizasyonu, bu çalışmada eğitim, doğrulama ve edge ölçüm adımlarını birlikte içeren uçtan uca bir döngü olarak ele alınmıştır. Her iterasyonda parçacıklar geçerli hiperparametre uzayına projekte edilmekte, ilgili FT-Transformer modeli eğitim verisi üzerinde eğitilmekte ve doğrulama kümesinde hata metriği hesaplanmaktadır. Ardından model ONNX formatına aktarılmakta, TensorRT engine oluşturulmakta ve hedef donanım üzerinde çıkarım süresi, tepe bellek kullanımı ve model boyutu ölçülmektedir. Bu ölçümler üzerinden maliyet fonksiyonu hesaplanmakta, parçacıkların en iyi konumları güncellenmekte ve süreç yinelemeli olarak sürdürülmektedir.</w:t>
      </w:r>
    </w:p>
    <w:p>
      <w:r>
        <w:t xml:space="preserve">Adil kıyas için XGBoost ve FT-Transformer modellerinin aynı deney protokolü altında karşılaştırılması esas alınmıştır. Bu kapsamda her iki model için aynı train/validation/test bölmesi, aynı ön işleme adımları, aynı aykırı değer yönetimi ve aynı donanım ölçüm prosedürü kullanılmalıdır. Hiperparametre araması yalnızca validation sonuçlarıyla yönlendirilmeli, test kümesi ise yalnızca nihai performans raporlamasında kullanılmalıdır. Böylece model karşılaştırmasının, protokol farklarından değil doğrudan yöntem farklarından kaynaklanması sağlanmaktadır.</w:t>
      </w:r>
    </w:p>
    <w:p>
      <w:pPr>
        <w:jc w:val="center"/>
      </w:pPr>
      <w:r>
        <w:drawing>
          <wp:inline distT="0" distB="0" distL="0" distR="0">
            <wp:extent cx="5852160" cy="1951560"/>
            <wp:docPr id="104" name="report_comparison_protocol.png"/>
            <a:graphic>
              <a:graphicData uri="http://schemas.openxmlformats.org/drawingml/2006/picture">
                <pic:pic>
                  <pic:nvPicPr>
                    <pic:cNvPr id="104" name="report_comparison_protocol.png"/>
                    <pic:cNvPicPr/>
                  </pic:nvPicPr>
                  <pic:blipFill>
                    <a:blip r:embed="rId5"/>
                    <a:stretch>
                      <a:fillRect/>
                    </a:stretch>
                  </pic:blipFill>
                  <pic:spPr>
                    <a:xfrm>
                      <a:off x="0" y="0"/>
                      <a:ext cx="5852160" cy="1951560"/>
                    </a:xfrm>
                    <a:prstGeom prst="rect">
                      <a:avLst/>
                    </a:prstGeom>
                  </pic:spPr>
                </pic:pic>
              </a:graphicData>
            </a:graphic>
          </wp:inline>
        </w:drawing>
      </w:r>
    </w:p>
    <w:p>
      <w:pPr>
        <w:pStyle w:val="Caption"/>
        <w:jc w:val="center"/>
      </w:pPr>
      <w:r>
        <w:t xml:space="preserve">Şekil 4. XGBoost ve FT-Transformer icin adil karsilastirma protokolu. Iki model de ayni on isleme ve ayni metriklerle degerlendirilir.</w:t>
      </w:r>
    </w:p>
    <w:p>
      <w:r>
        <w:t xml:space="preserve">Ön işleme aşamasında ölçekleme ve dönüşüm adımları yalnızca eğitim verisi üzerinde fit edilerek validation ve test kümelerine uygulanmalıdır. Aykırı değer etkisini azaltmak için Fuel Flow ve Specific Range değişkenlerinde p01–p99 aralığına dayalı kırpma uygulanabilir. Performans değerlendirmesinde RMSE, MAE, R² ve MAPE metrikleri birlikte raporlanmalı; edge tarafında ise çıkarım süresi, tepe bellek kullanımı ve model boyutu dikkate alınmalıdır.</w:t>
      </w:r>
    </w:p>
    <w:p>
      <w:pPr>
        <w:jc w:val="center"/>
      </w:pPr>
      <m:oMath xmlns:m="http://schemas.openxmlformats.org/officeDocument/2006/math">
        <m:r>
          <m:rPr>
            <m:sty m:val="p"/>
          </m:rPr>
          <m:t>RMSE</m:t>
        </m:r>
        <m:r>
          <m:t>=</m:t>
        </m:r>
        <m:rad>
          <m:radPr>
            <m:degHide m:val="on"/>
          </m:radPr>
          <m:deg/>
          <m:e>
            <m:f>
              <m:fPr>
                <m:type m:val="bar"/>
              </m:fPr>
              <m:num>
                <m:r>
                  <m:t>1</m:t>
                </m:r>
              </m:num>
              <m:den>
                <m:r>
                  <m:t>n</m:t>
                </m:r>
              </m:den>
            </m:f>
            <m:nary>
              <m:naryPr>
                <m:chr m:val="∑"/>
                <m:limLoc m:val="undOvr"/>
                <m:grow m:val="1"/>
                <m:subHide m:val="off"/>
                <m:supHide m:val="off"/>
              </m:naryPr>
              <m:sub>
                <m:r>
                  <m:t>i=1</m:t>
                </m:r>
              </m:sub>
              <m:sup>
                <m:r>
                  <m:t>n</m:t>
                </m:r>
              </m:sup>
              <m:e>
                <m:sSup>
                  <m:e>
                    <m:d>
                      <m:dPr>
                        <m:sepChr m:val="-"/>
                      </m:dPr>
                      <m:e>
                        <m:sSub>
                          <m:e>
                            <m:r>
                              <m:t>y</m:t>
                            </m:r>
                          </m:e>
                          <m:sub>
                            <m:r>
                              <m:t>i</m:t>
                            </m:r>
                          </m:sub>
                        </m:sSub>
                      </m:e>
                      <m:e>
                        <m:sSub>
                          <m:e>
                            <m:limUpp>
                              <m:e>
                                <m:r>
                                  <m:t>y</m:t>
                                </m:r>
                              </m:e>
                              <m:lim>
                                <m:r>
                                  <m:t>^</m:t>
                                </m:r>
                              </m:lim>
                            </m:limUpp>
                          </m:e>
                          <m:sub>
                            <m:r>
                              <m:t>i</m:t>
                            </m:r>
                          </m:sub>
                        </m:sSub>
                      </m:e>
                    </m:d>
                  </m:e>
                  <m:sup>
                    <m:r>
                      <m:t>2</m:t>
                    </m:r>
                  </m:sup>
                </m:sSup>
              </m:e>
            </m:nary>
          </m:e>
        </m:rad>
      </m:oMath>
    </w:p>
    <w:p>
      <w:pPr>
        <w:pStyle w:val="Caption"/>
        <w:jc w:val="center"/>
      </w:pPr>
      <w:r>
        <w:t xml:space="preserve">Denklem 13. Kök ortalama kare hata (RMSE).</w:t>
      </w:r>
    </w:p>
    <w:p>
      <w:pPr>
        <w:jc w:val="center"/>
      </w:pPr>
      <m:oMath xmlns:m="http://schemas.openxmlformats.org/officeDocument/2006/math">
        <m:r>
          <m:rPr>
            <m:sty m:val="p"/>
          </m:rPr>
          <m:t>MAE</m:t>
        </m:r>
        <m:r>
          <m:t>=</m:t>
        </m:r>
        <m:f>
          <m:fPr>
            <m:type m:val="bar"/>
          </m:fPr>
          <m:num>
            <m:r>
              <m:t>1</m:t>
            </m:r>
          </m:num>
          <m:den>
            <m:r>
              <m:t>n</m:t>
            </m:r>
          </m:den>
        </m:f>
        <m:nary>
          <m:naryPr>
            <m:chr m:val="∑"/>
            <m:limLoc m:val="undOvr"/>
            <m:grow m:val="1"/>
            <m:subHide m:val="off"/>
            <m:supHide m:val="off"/>
          </m:naryPr>
          <m:sub>
            <m:r>
              <m:t>i=1</m:t>
            </m:r>
          </m:sub>
          <m:sup>
            <m:r>
              <m:t>n</m:t>
            </m:r>
          </m:sup>
          <m:e>
            <m:r>
              <m:t>|</m:t>
            </m:r>
          </m:e>
        </m:nary>
        <m:sSub>
          <m:e>
            <m:r>
              <m:t>y</m:t>
            </m:r>
          </m:e>
          <m:sub>
            <m:r>
              <m:t>i</m:t>
            </m:r>
          </m:sub>
        </m:sSub>
        <m:r>
          <m:t>-</m:t>
        </m:r>
        <m:sSub>
          <m:e>
            <m:limUpp>
              <m:e>
                <m:r>
                  <m:t>y</m:t>
                </m:r>
              </m:e>
              <m:lim>
                <m:r>
                  <m:t>^</m:t>
                </m:r>
              </m:lim>
            </m:limUpp>
          </m:e>
          <m:sub>
            <m:r>
              <m:t>i</m:t>
            </m:r>
          </m:sub>
        </m:sSub>
        <m:r>
          <m:t>|</m:t>
        </m:r>
      </m:oMath>
    </w:p>
    <w:p>
      <w:pPr>
        <w:pStyle w:val="Caption"/>
        <w:jc w:val="center"/>
      </w:pPr>
      <w:r>
        <w:t xml:space="preserve">Denklem 14. Ortalama mutlak hata (MAE).</w:t>
      </w:r>
    </w:p>
    <w:p>
      <w:pPr>
        <w:jc w:val="center"/>
      </w:pPr>
      <m:oMath xmlns:m="http://schemas.openxmlformats.org/officeDocument/2006/math">
        <m:sSup>
          <m:e>
            <m:r>
              <m:t>R</m:t>
            </m:r>
          </m:e>
          <m:sup>
            <m:r>
              <m:t>2</m:t>
            </m:r>
          </m:sup>
        </m:sSup>
        <m:r>
          <m:t>=1-</m:t>
        </m:r>
        <m:f>
          <m:fPr>
            <m:type m:val="bar"/>
          </m:fPr>
          <m:num>
            <m:nary>
              <m:naryPr>
                <m:chr m:val="∑"/>
                <m:limLoc m:val="undOvr"/>
                <m:grow m:val="1"/>
                <m:subHide m:val="off"/>
                <m:supHide m:val="on"/>
              </m:naryPr>
              <m:sub>
                <m:r>
                  <m:t>i</m:t>
                </m:r>
              </m:sub>
              <m:sup/>
              <m:e>
                <m:sSup>
                  <m:e>
                    <m:d>
                      <m:dPr>
                        <m:sepChr m:val="-"/>
                      </m:dPr>
                      <m:e>
                        <m:sSub>
                          <m:e>
                            <m:r>
                              <m:t>y</m:t>
                            </m:r>
                          </m:e>
                          <m:sub>
                            <m:r>
                              <m:t>i</m:t>
                            </m:r>
                          </m:sub>
                        </m:sSub>
                      </m:e>
                      <m:e>
                        <m:sSub>
                          <m:e>
                            <m:limUpp>
                              <m:e>
                                <m:r>
                                  <m:t>y</m:t>
                                </m:r>
                              </m:e>
                              <m:lim>
                                <m:r>
                                  <m:t>^</m:t>
                                </m:r>
                              </m:lim>
                            </m:limUpp>
                          </m:e>
                          <m:sub>
                            <m:r>
                              <m:t>i</m:t>
                            </m:r>
                          </m:sub>
                        </m:sSub>
                      </m:e>
                    </m:d>
                  </m:e>
                  <m:sup>
                    <m:r>
                      <m:t>2</m:t>
                    </m:r>
                  </m:sup>
                </m:sSup>
              </m:e>
            </m:nary>
          </m:num>
          <m:den>
            <m:nary>
              <m:naryPr>
                <m:chr m:val="∑"/>
                <m:limLoc m:val="undOvr"/>
                <m:grow m:val="1"/>
                <m:subHide m:val="off"/>
                <m:supHide m:val="on"/>
              </m:naryPr>
              <m:sub>
                <m:r>
                  <m:t>i</m:t>
                </m:r>
              </m:sub>
              <m:sup/>
              <m:e>
                <m:sSup>
                  <m:e>
                    <m:d>
                      <m:dPr>
                        <m:sepChr m:val="-"/>
                      </m:dPr>
                      <m:e>
                        <m:sSub>
                          <m:e>
                            <m:r>
                              <m:t>y</m:t>
                            </m:r>
                          </m:e>
                          <m:sub>
                            <m:r>
                              <m:t>i</m:t>
                            </m:r>
                          </m:sub>
                        </m:sSub>
                      </m:e>
                      <m:e>
                        <m:bar>
                          <m:barPr>
                            <m:pos m:val="top"/>
                          </m:barPr>
                          <m:e>
                            <m:r>
                              <m:t>y</m:t>
                            </m:r>
                          </m:e>
                        </m:bar>
                      </m:e>
                    </m:d>
                  </m:e>
                  <m:sup>
                    <m:r>
                      <m:t>2</m:t>
                    </m:r>
                  </m:sup>
                </m:sSup>
              </m:e>
            </m:nary>
          </m:den>
        </m:f>
      </m:oMath>
    </w:p>
    <w:p>
      <w:pPr>
        <w:pStyle w:val="Caption"/>
        <w:jc w:val="center"/>
      </w:pPr>
      <w:r>
        <w:t xml:space="preserve">Denklem 15. Belirlilik katsayısı.</w:t>
      </w:r>
    </w:p>
    <w:p>
      <w:pPr>
        <w:jc w:val="center"/>
      </w:pPr>
      <m:oMath xmlns:m="http://schemas.openxmlformats.org/officeDocument/2006/math">
        <m:r>
          <m:rPr>
            <m:sty m:val="p"/>
          </m:rPr>
          <m:t>MAPE</m:t>
        </m:r>
        <m:r>
          <m:t>=</m:t>
        </m:r>
        <m:f>
          <m:fPr>
            <m:type m:val="bar"/>
          </m:fPr>
          <m:num>
            <m:r>
              <m:t>1</m:t>
            </m:r>
          </m:num>
          <m:den>
            <m:r>
              <m:t>n</m:t>
            </m:r>
          </m:den>
        </m:f>
        <m:nary>
          <m:naryPr>
            <m:chr m:val="∑"/>
            <m:limLoc m:val="undOvr"/>
            <m:grow m:val="1"/>
            <m:subHide m:val="off"/>
            <m:supHide m:val="off"/>
          </m:naryPr>
          <m:sub>
            <m:r>
              <m:t>i=1</m:t>
            </m:r>
          </m:sub>
          <m:sup>
            <m:r>
              <m:t>n</m:t>
            </m:r>
          </m:sup>
          <m:e>
            <m:r>
              <m:t>|</m:t>
            </m:r>
          </m:e>
        </m:nary>
        <m:f>
          <m:fPr>
            <m:type m:val="bar"/>
          </m:fPr>
          <m:num>
            <m:sSub>
              <m:e>
                <m:r>
                  <m:t>y</m:t>
                </m:r>
              </m:e>
              <m:sub>
                <m:r>
                  <m:t>i</m:t>
                </m:r>
              </m:sub>
            </m:sSub>
            <m:r>
              <m:t>-</m:t>
            </m:r>
            <m:sSub>
              <m:e>
                <m:limUpp>
                  <m:e>
                    <m:r>
                      <m:t>y</m:t>
                    </m:r>
                  </m:e>
                  <m:lim>
                    <m:r>
                      <m:t>^</m:t>
                    </m:r>
                  </m:lim>
                </m:limUpp>
              </m:e>
              <m:sub>
                <m:r>
                  <m:t>i</m:t>
                </m:r>
              </m:sub>
            </m:sSub>
          </m:num>
          <m:den>
            <m:sSub>
              <m:e>
                <m:r>
                  <m:t>y</m:t>
                </m:r>
              </m:e>
              <m:sub>
                <m:r>
                  <m:t>i</m:t>
                </m:r>
              </m:sub>
            </m:sSub>
          </m:den>
        </m:f>
        <m:r>
          <m:t>|</m:t>
        </m:r>
      </m:oMath>
    </w:p>
    <w:p>
      <w:pPr>
        <w:pStyle w:val="Caption"/>
        <w:jc w:val="center"/>
      </w:pPr>
      <w:r>
        <w:t xml:space="preserve">Denklem 16. Ortalama mutlak yüzde hata (MAPE).</w:t>
      </w:r>
    </w:p>
    <w:p>
      <w:pPr>
        <w:pStyle w:val="Heading1"/>
      </w:pPr>
      <w:r>
        <w:t xml:space="preserve">10. Mevcut Kod Tabanından Örnek Sonuçlar</w:t>
      </w:r>
    </w:p>
    <w:p>
      <w:r>
        <w:t xml:space="preserve">Aşağıdaki tablolar ve şekiller, proje kapsamında üretilen mevcut eğitim ve raporlama çıktılarından seçilmiştir. Amaç, raporda hem yöntemsel çerçeveyi hem de kod tabanının somut çıktılarını birlikte gösterebilmektir.</w:t>
      </w:r>
    </w:p>
    <w:p>
      <w:pPr>
        <w:pStyle w:val="Heading2"/>
      </w:pPr>
      <w:r>
        <w:t xml:space="preserve">Doğrulama ve test metrikleri</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Model</w:t>
            </w:r>
          </w:p>
        </w:tc>
        <w:tc>
          <w:tcPr>
            <w:tcW w:w="1500" w:type="dxa"/>
          </w:tcPr>
          <w:p>
            <w:r>
              <w:rPr>
                <w:b/>
              </w:rPr>
              <w:t xml:space="preserve">Val RMSE</w:t>
            </w:r>
          </w:p>
        </w:tc>
        <w:tc>
          <w:tcPr>
            <w:tcW w:w="1500" w:type="dxa"/>
          </w:tcPr>
          <w:p>
            <w:r>
              <w:rPr>
                <w:b/>
              </w:rPr>
              <w:t xml:space="preserve">Test RMSE</w:t>
            </w:r>
          </w:p>
        </w:tc>
        <w:tc>
          <w:tcPr>
            <w:tcW w:w="1500" w:type="dxa"/>
          </w:tcPr>
          <w:p>
            <w:r>
              <w:rPr>
                <w:b/>
              </w:rPr>
              <w:t xml:space="preserve">Test MAE</w:t>
            </w:r>
          </w:p>
        </w:tc>
        <w:tc>
          <w:tcPr>
            <w:tcW w:w="1500" w:type="dxa"/>
          </w:tcPr>
          <w:p>
            <w:r>
              <w:rPr>
                <w:b/>
              </w:rPr>
              <w:t xml:space="preserve">Test R²</w:t>
            </w:r>
          </w:p>
        </w:tc>
        <w:tc>
          <w:tcPr>
            <w:tcW w:w="1500" w:type="dxa"/>
          </w:tcPr>
          <w:p>
            <w:r>
              <w:rPr>
                <w:b/>
              </w:rPr>
              <w:t xml:space="preserve">Test MAPE</w:t>
            </w:r>
          </w:p>
        </w:tc>
      </w:tr>
      <w:tr>
        <w:tc>
          <w:tcPr>
            <w:tcW w:w="1800" w:type="dxa"/>
          </w:tcPr>
          <w:p>
            <w:r>
              <w:t xml:space="preserve">XGBoost</w:t>
            </w:r>
          </w:p>
        </w:tc>
        <w:tc>
          <w:tcPr>
            <w:tcW w:w="1500" w:type="dxa"/>
          </w:tcPr>
          <w:p>
            <w:r>
              <w:t xml:space="preserve">0.002660</w:t>
            </w:r>
          </w:p>
        </w:tc>
        <w:tc>
          <w:tcPr>
            <w:tcW w:w="1500" w:type="dxa"/>
          </w:tcPr>
          <w:p>
            <w:r>
              <w:t xml:space="preserve">0.002677</w:t>
            </w:r>
          </w:p>
        </w:tc>
        <w:tc>
          <w:tcPr>
            <w:tcW w:w="1500" w:type="dxa"/>
          </w:tcPr>
          <w:p>
            <w:r>
              <w:t xml:space="preserve">0.001204</w:t>
            </w:r>
          </w:p>
        </w:tc>
        <w:tc>
          <w:tcPr>
            <w:tcW w:w="1500" w:type="dxa"/>
          </w:tcPr>
          <w:p>
            <w:r>
              <w:t xml:space="preserve">0.999232</w:t>
            </w:r>
          </w:p>
        </w:tc>
        <w:tc>
          <w:tcPr>
            <w:tcW w:w="1500" w:type="dxa"/>
          </w:tcPr>
          <w:p>
            <w:r>
              <w:t xml:space="preserve">1.5882</w:t>
            </w:r>
          </w:p>
        </w:tc>
      </w:tr>
      <w:tr>
        <w:tc>
          <w:tcPr>
            <w:tcW w:w="1800" w:type="dxa"/>
          </w:tcPr>
          <w:p>
            <w:r>
              <w:t xml:space="preserve">FT-Transformer</w:t>
            </w:r>
          </w:p>
        </w:tc>
        <w:tc>
          <w:tcPr>
            <w:tcW w:w="1500" w:type="dxa"/>
          </w:tcPr>
          <w:p>
            <w:r>
              <w:t xml:space="preserve">0.003606</w:t>
            </w:r>
          </w:p>
        </w:tc>
        <w:tc>
          <w:tcPr>
            <w:tcW w:w="1500" w:type="dxa"/>
          </w:tcPr>
          <w:p>
            <w:r>
              <w:t xml:space="preserve">0.003907</w:t>
            </w:r>
          </w:p>
        </w:tc>
        <w:tc>
          <w:tcPr>
            <w:tcW w:w="1500" w:type="dxa"/>
          </w:tcPr>
          <w:p>
            <w:r>
              <w:t xml:space="preserve">0.002042</w:t>
            </w:r>
          </w:p>
        </w:tc>
        <w:tc>
          <w:tcPr>
            <w:tcW w:w="1500" w:type="dxa"/>
          </w:tcPr>
          <w:p>
            <w:r>
              <w:t xml:space="preserve">0.998365</w:t>
            </w:r>
          </w:p>
        </w:tc>
        <w:tc>
          <w:tcPr>
            <w:tcW w:w="1500" w:type="dxa"/>
          </w:tcPr>
          <w:p>
            <w:r>
              <w:t xml:space="preserve">3.1190</w:t>
            </w:r>
          </w:p>
        </w:tc>
      </w:tr>
    </w:tbl>
    <w:p>
      <w:pPr>
        <w:pStyle w:val="Heading2"/>
      </w:pPr>
      <w:r>
        <w:t xml:space="preserve">Toplu satır-bazlı rapor özeti</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Model</w:t>
            </w:r>
          </w:p>
        </w:tc>
        <w:tc>
          <w:tcPr>
            <w:tcW w:w="1200" w:type="dxa"/>
          </w:tcPr>
          <w:p>
            <w:r>
              <w:rPr>
                <w:b/>
              </w:rPr>
              <w:t xml:space="preserve">Rows</w:t>
            </w:r>
          </w:p>
        </w:tc>
        <w:tc>
          <w:tcPr>
            <w:tcW w:w="1400" w:type="dxa"/>
          </w:tcPr>
          <w:p>
            <w:r>
              <w:rPr>
                <w:b/>
              </w:rPr>
              <w:t xml:space="preserve">RMSE</w:t>
            </w:r>
          </w:p>
        </w:tc>
        <w:tc>
          <w:tcPr>
            <w:tcW w:w="1400" w:type="dxa"/>
          </w:tcPr>
          <w:p>
            <w:r>
              <w:rPr>
                <w:b/>
              </w:rPr>
              <w:t xml:space="preserve">MAE</w:t>
            </w:r>
          </w:p>
        </w:tc>
        <w:tc>
          <w:tcPr>
            <w:tcW w:w="1400" w:type="dxa"/>
          </w:tcPr>
          <w:p>
            <w:r>
              <w:rPr>
                <w:b/>
              </w:rPr>
              <w:t xml:space="preserve">R²</w:t>
            </w:r>
          </w:p>
        </w:tc>
        <w:tc>
          <w:tcPr>
            <w:tcW w:w="1400" w:type="dxa"/>
          </w:tcPr>
          <w:p>
            <w:r>
              <w:rPr>
                <w:b/>
              </w:rPr>
              <w:t xml:space="preserve">MAPE</w:t>
            </w:r>
          </w:p>
        </w:tc>
        <w:tc>
          <w:tcPr>
            <w:tcW w:w="1700" w:type="dxa"/>
          </w:tcPr>
          <w:p>
            <w:r>
              <w:rPr>
                <w:b/>
              </w:rPr>
              <w:t xml:space="preserve">Max Abs Error</w:t>
            </w:r>
          </w:p>
        </w:tc>
      </w:tr>
      <w:tr>
        <w:tc>
          <w:tcPr>
            <w:tcW w:w="1800" w:type="dxa"/>
          </w:tcPr>
          <w:p>
            <w:r>
              <w:t xml:space="preserve">XGBoost</w:t>
            </w:r>
          </w:p>
        </w:tc>
        <w:tc>
          <w:tcPr>
            <w:tcW w:w="1200" w:type="dxa"/>
          </w:tcPr>
          <w:p>
            <w:r>
              <w:t xml:space="preserve">54620</w:t>
            </w:r>
          </w:p>
        </w:tc>
        <w:tc>
          <w:tcPr>
            <w:tcW w:w="1400" w:type="dxa"/>
          </w:tcPr>
          <w:p>
            <w:r>
              <w:t xml:space="preserve">0.002324</w:t>
            </w:r>
          </w:p>
        </w:tc>
        <w:tc>
          <w:tcPr>
            <w:tcW w:w="1400" w:type="dxa"/>
          </w:tcPr>
          <w:p>
            <w:r>
              <w:t xml:space="preserve">0.001100</w:t>
            </w:r>
          </w:p>
        </w:tc>
        <w:tc>
          <w:tcPr>
            <w:tcW w:w="1400" w:type="dxa"/>
          </w:tcPr>
          <w:p>
            <w:r>
              <w:t xml:space="preserve">0.999406</w:t>
            </w:r>
          </w:p>
        </w:tc>
        <w:tc>
          <w:tcPr>
            <w:tcW w:w="1400" w:type="dxa"/>
          </w:tcPr>
          <w:p>
            <w:r>
              <w:t xml:space="preserve">1.5806</w:t>
            </w:r>
          </w:p>
        </w:tc>
        <w:tc>
          <w:tcPr>
            <w:tcW w:w="1700" w:type="dxa"/>
          </w:tcPr>
          <w:p>
            <w:r>
              <w:t xml:space="preserve">0.066964</w:t>
            </w:r>
          </w:p>
        </w:tc>
      </w:tr>
      <w:tr>
        <w:tc>
          <w:tcPr>
            <w:tcW w:w="1800" w:type="dxa"/>
          </w:tcPr>
          <w:p>
            <w:r>
              <w:t xml:space="preserve">FT-Transformer</w:t>
            </w:r>
          </w:p>
        </w:tc>
        <w:tc>
          <w:tcPr>
            <w:tcW w:w="1200" w:type="dxa"/>
          </w:tcPr>
          <w:p>
            <w:r>
              <w:t xml:space="preserve">54620</w:t>
            </w:r>
          </w:p>
        </w:tc>
        <w:tc>
          <w:tcPr>
            <w:tcW w:w="1400" w:type="dxa"/>
          </w:tcPr>
          <w:p>
            <w:r>
              <w:t xml:space="preserve">0.003728</w:t>
            </w:r>
          </w:p>
        </w:tc>
        <w:tc>
          <w:tcPr>
            <w:tcW w:w="1400" w:type="dxa"/>
          </w:tcPr>
          <w:p>
            <w:r>
              <w:t xml:space="preserve">0.002002</w:t>
            </w:r>
          </w:p>
        </w:tc>
        <w:tc>
          <w:tcPr>
            <w:tcW w:w="1400" w:type="dxa"/>
          </w:tcPr>
          <w:p>
            <w:r>
              <w:t xml:space="preserve">0.998473</w:t>
            </w:r>
          </w:p>
        </w:tc>
        <w:tc>
          <w:tcPr>
            <w:tcW w:w="1400" w:type="dxa"/>
          </w:tcPr>
          <w:p>
            <w:r>
              <w:t xml:space="preserve">3.3474</w:t>
            </w:r>
          </w:p>
        </w:tc>
        <w:tc>
          <w:tcPr>
            <w:tcW w:w="1700" w:type="dxa"/>
          </w:tcPr>
          <w:p>
            <w:r>
              <w:t xml:space="preserve">0.052441</w:t>
            </w:r>
          </w:p>
        </w:tc>
      </w:tr>
    </w:tbl>
    <w:p>
      <w:pPr>
        <w:jc w:val="center"/>
      </w:pPr>
      <w:r>
        <w:drawing>
          <wp:inline distT="0" distB="0" distL="0" distR="0">
            <wp:extent cx="5760720" cy="4800600"/>
            <wp:docPr id="105" name="xgboost_slice_predictions.png"/>
            <a:graphic>
              <a:graphicData uri="http://schemas.openxmlformats.org/drawingml/2006/picture">
                <pic:pic>
                  <pic:nvPicPr>
                    <pic:cNvPr id="105" name="xgboost_slice_predictions.png"/>
                    <pic:cNvPicPr/>
                  </pic:nvPicPr>
                  <pic:blipFill>
                    <a:blip r:embed="rId6"/>
                    <a:stretch>
                      <a:fillRect/>
                    </a:stretch>
                  </pic:blipFill>
                  <pic:spPr>
                    <a:xfrm>
                      <a:off x="0" y="0"/>
                      <a:ext cx="5760720" cy="4800600"/>
                    </a:xfrm>
                    <a:prstGeom prst="rect">
                      <a:avLst/>
                    </a:prstGeom>
                  </pic:spPr>
                </pic:pic>
              </a:graphicData>
            </a:graphic>
          </wp:inline>
        </w:drawing>
      </w:r>
    </w:p>
    <w:p>
      <w:pPr>
        <w:pStyle w:val="Caption"/>
        <w:jc w:val="center"/>
      </w:pPr>
      <w:r>
        <w:t xml:space="preserve">Şekil 5. XGBoost için gerçek ve tahmin eğrilerinin slice düzeyinde karşılaştırılması.</w:t>
      </w:r>
    </w:p>
    <w:p>
      <w:pPr>
        <w:jc w:val="center"/>
      </w:pPr>
      <w:r>
        <w:drawing>
          <wp:inline distT="0" distB="0" distL="0" distR="0">
            <wp:extent cx="5760720" cy="4800600"/>
            <wp:docPr id="106" name="ft_transformer_slice_predictions.png"/>
            <a:graphic>
              <a:graphicData uri="http://schemas.openxmlformats.org/drawingml/2006/picture">
                <pic:pic>
                  <pic:nvPicPr>
                    <pic:cNvPr id="106" name="ft_transformer_slice_predictions.png"/>
                    <pic:cNvPicPr/>
                  </pic:nvPicPr>
                  <pic:blipFill>
                    <a:blip r:embed="rId7"/>
                    <a:stretch>
                      <a:fillRect/>
                    </a:stretch>
                  </pic:blipFill>
                  <pic:spPr>
                    <a:xfrm>
                      <a:off x="0" y="0"/>
                      <a:ext cx="5760720" cy="4800600"/>
                    </a:xfrm>
                    <a:prstGeom prst="rect">
                      <a:avLst/>
                    </a:prstGeom>
                  </pic:spPr>
                </pic:pic>
              </a:graphicData>
            </a:graphic>
          </wp:inline>
        </w:drawing>
      </w:r>
    </w:p>
    <w:p>
      <w:pPr>
        <w:pStyle w:val="Caption"/>
        <w:jc w:val="center"/>
      </w:pPr>
      <w:r>
        <w:t xml:space="preserve">Şekil 6. FT-Transformer için gerçek ve tahmin eğrilerinin slice düzeyinde karşılaştırılması.</w:t>
      </w:r>
    </w:p>
    <w:p>
      <w:pPr>
        <w:jc w:val="center"/>
      </w:pPr>
      <w:r>
        <w:drawing>
          <wp:inline distT="0" distB="0" distL="0" distR="0">
            <wp:extent cx="5486400" cy="2286000"/>
            <wp:docPr id="107" name="xgboost_slice_summary.png"/>
            <a:graphic>
              <a:graphicData uri="http://schemas.openxmlformats.org/drawingml/2006/picture">
                <pic:pic>
                  <pic:nvPicPr>
                    <pic:cNvPr id="107" name="xgboost_slice_summary.png"/>
                    <pic:cNvPicPr/>
                  </pic:nvPicPr>
                  <pic:blipFill>
                    <a:blip r:embed="rId8"/>
                    <a:stretch>
                      <a:fillRect/>
                    </a:stretch>
                  </pic:blipFill>
                  <pic:spPr>
                    <a:xfrm>
                      <a:off x="0" y="0"/>
                      <a:ext cx="5486400" cy="2286000"/>
                    </a:xfrm>
                    <a:prstGeom prst="rect">
                      <a:avLst/>
                    </a:prstGeom>
                  </pic:spPr>
                </pic:pic>
              </a:graphicData>
            </a:graphic>
          </wp:inline>
        </w:drawing>
      </w:r>
    </w:p>
    <w:p>
      <w:pPr>
        <w:pStyle w:val="Caption"/>
        <w:jc w:val="center"/>
      </w:pPr>
      <w:r>
        <w:t xml:space="preserve">Şekil 7. XGBoost için slice düzeyi hata özeti.</w:t>
      </w:r>
    </w:p>
    <w:p>
      <w:pPr>
        <w:jc w:val="center"/>
      </w:pPr>
      <w:r>
        <w:drawing>
          <wp:inline distT="0" distB="0" distL="0" distR="0">
            <wp:extent cx="5486400" cy="4572000"/>
            <wp:docPr id="108" name="ft_transformer_nomogram_one_engine_5000ft_50000lb.png"/>
            <a:graphic>
              <a:graphicData uri="http://schemas.openxmlformats.org/drawingml/2006/picture">
                <pic:pic>
                  <pic:nvPicPr>
                    <pic:cNvPr id="108" name="ft_transformer_nomogram_one_engine_5000ft_50000lb.png"/>
                    <pic:cNvPicPr/>
                  </pic:nvPicPr>
                  <pic:blipFill>
                    <a:blip r:embed="rId9"/>
                    <a:stretch>
                      <a:fillRect/>
                    </a:stretch>
                  </pic:blipFill>
                  <pic:spPr>
                    <a:xfrm>
                      <a:off x="0" y="0"/>
                      <a:ext cx="5486400" cy="4572000"/>
                    </a:xfrm>
                    <a:prstGeom prst="rect">
                      <a:avLst/>
                    </a:prstGeom>
                  </pic:spPr>
                </pic:pic>
              </a:graphicData>
            </a:graphic>
          </wp:inline>
        </w:drawing>
      </w:r>
    </w:p>
    <w:p>
      <w:pPr>
        <w:pStyle w:val="Caption"/>
        <w:jc w:val="center"/>
      </w:pPr>
      <w:r>
        <w:t xml:space="preserve">Şekil 8. FT-Transformer için taslak nomogram karşılaştırması örneği.</w:t>
      </w:r>
    </w:p>
    <w:p>
      <w:pPr>
        <w:pStyle w:val="Heading1"/>
      </w:pPr>
      <w:r>
        <w:t xml:space="preserve">11. Sonuç ve Değerlendirme</w:t>
      </w:r>
    </w:p>
    <w:p>
      <w:r>
        <w:t xml:space="preserve">Bu rapor, çoklu irtifa içeren uçak performans verilerinde FT-Transformer kullanımının neden anlamlı bir aday olduğunu hem veri yapısı hem de mimari bileşenler üzerinden açıklamaktadır. Problem yalnızca bir tablo satırını tahmin etmek değil, altitude, gross_weight, drag_index, mach, fuel_flow ve engine_type değişkenlerinin oluşturduğu çok boyutlu performans yüzeyini modellemektir.</w:t>
      </w:r>
    </w:p>
    <w:p>
      <w:r>
        <w:t xml:space="preserve">Mevcut kod tabanı, veri temizleme, eğitim, kıyaslama, full-table raporlama ve taslak nomogram üretimi gibi pratik araştırma adımlarını çalışır biçimde sunmaktadır. Bu nedenle rapor, yalnızca kuramsal bir mimari tartışması değil; aynı zamanda gerçek veri üzerinde denenmiş bir araştırma hattının belgelenmiş özetidir. Sonraki aşamada, görsellerin daha da zenginleştirilmesi, deployment ölçümlerinin tamamlanması ve Jetson/TensorRT tarafındaki benchmark çıktılarının eklenmesiyle rapor daha da güçlendirilebilir.</w:t>
      </w:r>
    </w:p>
    <w:p>
      <w:pPr>
        <w:pStyle w:val="Heading1"/>
      </w:pPr>
      <w:r>
        <w:t xml:space="preserve">12. Taslak Kaynakça</w:t>
      </w:r>
    </w:p>
    <w:p>
      <w:r>
        <w:t xml:space="preserve">[1] Y. Gorishniy, I. Rubachev, V. Khrulkov ve A. Babenko, “Revisiting Deep Learning Models for Tabular Data,” Advances in Neural Information Processing Systems, 2021.</w:t>
      </w:r>
    </w:p>
    <w:p>
      <w:r>
        <w:t xml:space="preserve">[2] T. Chen ve C. Guestrin, “XGBoost: A Scalable Tree Boosting System,” Proceedings of the 22nd ACM SIGKDD International Conference on Knowledge Discovery and Data Mining, ss. 785–794, 2016.</w:t>
      </w:r>
    </w:p>
    <w:p>
      <w:r>
        <w:t xml:space="preserve">[3] J. Kennedy ve R. Eberhart, “Particle Swarm Optimization,” Proceedings of ICNN’95 – International Conference on Neural Networks, c. 4, ss. 1942–1948, 1995.</w:t>
      </w:r>
    </w:p>
    <w:p>
      <w:r>
        <w:t xml:space="preserve">[4] A. Vaswani, N. Shazeer, N. Parmar, J. Uszkoreit, L. Jones, A. N. Gomez, Ł. Kaiser ve I. Polosukhin, “Attention Is All You Need,” Advances in Neural Information Processing Systems, 2017.</w:t>
      </w:r>
    </w:p>
    <w:p>
      <w:r>
        <w:t xml:space="preserve">[5] X. Huang, A. Khetan, M. Cvitkovic ve Z. Karnin, “TabTransformer: Tabular Data Modeling Using Contextual Embeddings,” arXiv preprint arXiv:2012.06678, 2020.</w:t>
      </w:r>
    </w:p>
    <w:p>
      <w:r>
        <w:t xml:space="preserve">[6] F/A-18E/F Flight Manual: Performance Data for Pilots (A1-F18EA-NFM-200).</w:t>
      </w:r>
    </w:p>
    <w:p>
      <w:r>
        <w:t xml:space="preserve">[7] A. Sadou ve E. Njoya, “Applications of Artificial Intelligence in the Air Transport Industry,” Journal of Aerospace Technology and Management, 2022.</w:t>
      </w:r>
    </w:p>
    <w:p>
      <w:r>
        <w:t xml:space="preserve">[8] L. Grinsztajn, E. Oyallon ve G. Varoquaux, “Why Do Tree-Based Models Still Outperform Deep Learning on Typical Tabular Data?” NeurIPS 2022 Datasets and Benchmarks, 2022.</w:t>
      </w:r>
    </w:p>
    <w:p>
      <w:r>
        <w:t xml:space="preserve">[9] NVIDIA, Jetson Benchmarks and Deep Learning Latency Optimization, NVIDIA Documentation, 2023.</w:t>
      </w:r>
    </w:p>
    <w:p>
      <w:r>
        <w:t xml:space="preserve">[10] NVIDIA, TensorRT Developer Guide, NVIDIA Documentation.</w:t>
      </w:r>
    </w:p>
    <w:sectPr/>
  </w:body>
</w:document>
</file>

<file path=word/styles.xml><?xml version="1.0" encoding="utf-8"?>
<w:styles xmlns:w="http://schemas.openxmlformats.org/wordprocessingml/2006/main">
  <w:style w:type="paragraph" w:default="1" w:styleId="Normal">
    <w:name w:val="Normal"/>
    <w:qFormat/>
    <w:pPr>
      <w:spacing w:after="120" w:line="300" w:lineRule="auto"/>
    </w:pPr>
    <w:rPr>
      <w:rFonts w:ascii="Times New Roman" w:hAnsi="Times New Roman"/>
      <w:sz w:val="24"/>
    </w:rPr>
  </w:style>
  <w:style w:type="paragraph" w:styleId="Title">
    <w:name w:val="Title"/>
    <w:basedOn w:val="Normal"/>
    <w:qFormat/>
    <w:pPr>
      <w:jc w:val="center"/>
      <w:spacing w:after="180"/>
    </w:pPr>
    <w:rPr>
      <w:b/>
      <w:sz w:val="34"/>
    </w:rPr>
  </w:style>
  <w:style w:type="paragraph" w:styleId="Subtitle">
    <w:name w:val="Subtitle"/>
    <w:basedOn w:val="Normal"/>
    <w:qFormat/>
    <w:pPr>
      <w:jc w:val="center"/>
      <w:spacing w:after="120"/>
    </w:pPr>
    <w:rPr>
      <w:i/>
      <w:sz w:val="24"/>
    </w:rPr>
  </w:style>
  <w:style w:type="paragraph" w:styleId="Heading1">
    <w:name w:val="heading 1"/>
    <w:basedOn w:val="Normal"/>
    <w:qFormat/>
    <w:pPr>
      <w:spacing w:before="240" w:after="80"/>
    </w:pPr>
    <w:rPr>
      <w:b/>
      <w:sz w:val="30"/>
    </w:rPr>
  </w:style>
  <w:style w:type="paragraph" w:styleId="Heading2">
    <w:name w:val="heading 2"/>
    <w:basedOn w:val="Normal"/>
    <w:qFormat/>
    <w:pPr>
      <w:spacing w:before="180" w:after="60"/>
    </w:pPr>
    <w:rPr>
      <w:b/>
      <w:sz w:val="26"/>
    </w:rPr>
  </w:style>
  <w:style w:type="paragraph" w:styleId="Caption">
    <w:name w:val="Caption"/>
    <w:basedOn w:val="Normal"/>
    <w:qFormat/>
    <w:pPr>
      <w:jc w:val="center"/>
      <w:spacing w:after="140"/>
    </w:pPr>
    <w:rPr>
      <w:i/>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Havacılık Performans Verilerinde Tabular Transformer Rapor Taslağı</dc:title>
  <dc:creator>OpenAI Codex</dc:creator>
  <cp:lastModifiedBy>OpenAI Codex</cp:lastModifiedBy>
</cp:coreProperties>
</file>