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Güncel Karşılaştırma ve Benchmark Grafikleri</w:t>
      </w:r>
    </w:p>
    <w:p>
      <w:pPr>
        <w:jc w:val="center"/>
      </w:pPr>
      <w:r>
        <w:rPr>
          <w:i/>
        </w:rPr>
        <w:t>İnterpolasyon referans aile olarak ayrıldı; accuracy kıyası yalnız öğrenilmiş modeller için verildi.</w:t>
      </w:r>
    </w:p>
    <w:p>
      <w:pPr>
        <w:pStyle w:val="Heading1"/>
      </w:pPr>
      <w:r>
        <w:t>Kullanım Notu</w:t>
      </w:r>
    </w:p>
    <w:p>
      <w:r>
        <w:t>Bu belge, mevcut karşılaştırma ve benchmark raporlarındaki görsel dili koruyarak güncellenmiş grafik setini verir. Özellikle radar ve accuracy grafiklerinde interpolasyon artık öğrenilmiş model gibi puanlanmaz; benchmark tarafında yalnız runtime, bellek, CPU ve artefact boyutu ile gösterilir.</w:t>
      </w:r>
    </w:p>
    <w:p>
      <w:r>
        <w:t>Benchmark kaynağı: pi_benchmark_latest.json | Run ID: 20260517_190558 | Görünen hedef profil: haya@haya</w:t>
      </w:r>
    </w:p>
    <w:p>
      <w:pPr>
        <w:pStyle w:val="Heading1"/>
      </w:pPr>
      <w:r>
        <w:t>Grafik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57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earned_accuracy_correc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57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Şekil 1. XGBoost ve FT-Transformer için hata metrikleri. İnterpolasyon referans aile olduğu için bu grafikte yoktur.</w:t>
      </w:r>
    </w:p>
    <w:p>
      <w:pPr>
        <w:pStyle w:val="Heading1"/>
      </w:pPr>
      <w:r>
        <w:t>Grafik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078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atency_p50_p9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07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Şekil 2. Üç yöntemin p50 ve p95 tekil çıkarım gecikmeleri.</w:t>
      </w:r>
    </w:p>
    <w:p>
      <w:pPr>
        <w:pStyle w:val="Heading1"/>
      </w:pPr>
      <w:r>
        <w:t>Grafik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0232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source_pro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23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Şekil 3. Üç yöntemin bellek, CPU ve artefact/model boyutu profili.</w:t>
      </w:r>
    </w:p>
    <w:p>
      <w:pPr>
        <w:pStyle w:val="Heading1"/>
      </w:pPr>
      <w:r>
        <w:t>Grafik 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26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st_components_correc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Şekil 4. Normalize maliyet bileşenleri. İnterpolasyon accuracy cost hesabına katılmamıştır.</w:t>
      </w:r>
    </w:p>
    <w:p>
      <w:pPr>
        <w:pStyle w:val="Heading1"/>
      </w:pPr>
      <w:r>
        <w:t>Grafik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0255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it_sco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25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Şekil 5. Benchmark tabanlı uygunluk skoru. İnterpolasyon için skor runtime-only bağlamında yorumlanmalıdır.</w:t>
      </w:r>
    </w:p>
    <w:p>
      <w:pPr>
        <w:pStyle w:val="Heading1"/>
      </w:pPr>
      <w:r>
        <w:t>Grafik 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61805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ofile_radar_correc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180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Şekil 6. Genel profil radar grafiği. Accuracy ekseni yerine interpolasyonun referans rolü ayrı gösterilmiştir.</w:t>
      </w:r>
    </w:p>
    <w:p>
      <w:pPr>
        <w:pStyle w:val="Heading1"/>
      </w:pPr>
      <w:r>
        <w:t>Kısa Yorum</w:t>
      </w:r>
    </w:p>
    <w:p>
      <w:r>
        <w:t>Güncel görseller, mevcut uygulama mantığıyla uyumludur: interpolasyon deterministic referans aile, XGBoost pratik ve güçlü baseline, FT-Transformer ise akademik mimari/araştırma adayıdır. Bu nedenle accuracy metrikleri XGBoost ve FT-Transformer arasında yorumlanmalı; interpolasyonun doğruluğu aynı eksende düşük veya yüksek puanlanmamalıdır.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5589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6455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53764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