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Default="00CD6C13" w:rsidP="009C632B">
      <w:r>
        <w:t>Test</w:t>
      </w:r>
      <w:r w:rsidR="7FAC9B96" w:rsidRPr="48D5E1DA">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955B872" w:rsidR="72FC11E4" w:rsidRDefault="72FC11E4" w:rsidP="48D5E1DA">
      <w:pPr>
        <w:rPr>
          <w:sz w:val="24"/>
          <w:szCs w:val="24"/>
        </w:rPr>
      </w:pPr>
      <w:r w:rsidRPr="48D5E1DA">
        <w:rPr>
          <w:sz w:val="24"/>
          <w:szCs w:val="24"/>
        </w:rPr>
        <w:t xml:space="preserve">This report summarizes </w:t>
      </w:r>
      <w:r w:rsidR="00CD6C13">
        <w:rPr>
          <w:sz w:val="24"/>
          <w:szCs w:val="24"/>
        </w:rPr>
        <w:t xml:space="preserve">the Test </w:t>
      </w:r>
      <w:r w:rsidRPr="48D5E1DA">
        <w:rPr>
          <w:sz w:val="24"/>
          <w:szCs w:val="24"/>
        </w:rPr>
        <w:t>ARCHive holdings as of 2023-1</w:t>
      </w:r>
      <w:r w:rsidR="00CD6C13">
        <w:rPr>
          <w:sz w:val="24"/>
          <w:szCs w:val="24"/>
        </w:rPr>
        <w:t>1</w:t>
      </w:r>
      <w:r w:rsidRPr="48D5E1DA">
        <w:rPr>
          <w:sz w:val="24"/>
          <w:szCs w:val="24"/>
        </w:rPr>
        <w:t>-</w:t>
      </w:r>
      <w:r w:rsidR="00CD6C13">
        <w:rPr>
          <w:sz w:val="24"/>
          <w:szCs w:val="24"/>
        </w:rPr>
        <w:t>03</w:t>
      </w:r>
      <w:r w:rsidRPr="48D5E1DA">
        <w:rPr>
          <w:sz w:val="24"/>
          <w:szCs w:val="24"/>
        </w:rPr>
        <w:t>.</w:t>
      </w:r>
      <w:r w:rsidR="67CA886C" w:rsidRPr="48D5E1DA">
        <w:rPr>
          <w:sz w:val="24"/>
          <w:szCs w:val="24"/>
        </w:rPr>
        <w:t xml:space="preserve"> Throughout, “format” refers to a specific version of a format.</w:t>
      </w:r>
    </w:p>
    <w:p w14:paraId="5FD06449" w14:textId="4AFC5992" w:rsidR="3B83D773" w:rsidRDefault="005126C2" w:rsidP="14997EF0">
      <w:pPr>
        <w:pStyle w:val="ListParagraph"/>
        <w:numPr>
          <w:ilvl w:val="0"/>
          <w:numId w:val="1"/>
        </w:numPr>
        <w:rPr>
          <w:sz w:val="24"/>
          <w:szCs w:val="24"/>
        </w:rPr>
      </w:pPr>
      <w:r>
        <w:rPr>
          <w:sz w:val="24"/>
          <w:szCs w:val="24"/>
        </w:rPr>
        <w:t>2</w:t>
      </w:r>
      <w:r w:rsidR="3B83D773" w:rsidRPr="3CAD1133">
        <w:rPr>
          <w:sz w:val="24"/>
          <w:szCs w:val="24"/>
        </w:rPr>
        <w:t xml:space="preserve"> collections</w:t>
      </w:r>
    </w:p>
    <w:p w14:paraId="5185AB3D" w14:textId="5B71983F" w:rsidR="3B83D773" w:rsidRDefault="005126C2" w:rsidP="14997EF0">
      <w:pPr>
        <w:pStyle w:val="ListParagraph"/>
        <w:numPr>
          <w:ilvl w:val="0"/>
          <w:numId w:val="1"/>
        </w:numPr>
        <w:rPr>
          <w:sz w:val="24"/>
          <w:szCs w:val="24"/>
        </w:rPr>
      </w:pPr>
      <w:r>
        <w:rPr>
          <w:sz w:val="24"/>
          <w:szCs w:val="24"/>
        </w:rPr>
        <w:t>4</w:t>
      </w:r>
      <w:r w:rsidR="3B83D773" w:rsidRPr="3CAD1133">
        <w:rPr>
          <w:sz w:val="24"/>
          <w:szCs w:val="24"/>
        </w:rPr>
        <w:t xml:space="preserve"> AI</w:t>
      </w:r>
      <w:r w:rsidR="0C541B8D" w:rsidRPr="3CAD1133">
        <w:rPr>
          <w:sz w:val="24"/>
          <w:szCs w:val="24"/>
        </w:rPr>
        <w:t>Ps</w:t>
      </w:r>
    </w:p>
    <w:p w14:paraId="30B7AC46" w14:textId="7B2451D3" w:rsidR="263D1F93" w:rsidRDefault="005126C2" w:rsidP="14997EF0">
      <w:pPr>
        <w:pStyle w:val="ListParagraph"/>
        <w:numPr>
          <w:ilvl w:val="0"/>
          <w:numId w:val="1"/>
        </w:numPr>
        <w:rPr>
          <w:sz w:val="24"/>
          <w:szCs w:val="24"/>
        </w:rPr>
      </w:pPr>
      <w:r>
        <w:rPr>
          <w:sz w:val="24"/>
          <w:szCs w:val="24"/>
        </w:rPr>
        <w:t>7</w:t>
      </w:r>
      <w:r w:rsidR="263D1F93" w:rsidRPr="3CAD1133">
        <w:rPr>
          <w:sz w:val="24"/>
          <w:szCs w:val="24"/>
        </w:rPr>
        <w:t xml:space="preserve"> versions of </w:t>
      </w:r>
      <w:r>
        <w:rPr>
          <w:sz w:val="24"/>
          <w:szCs w:val="24"/>
        </w:rPr>
        <w:t>6</w:t>
      </w:r>
      <w:r w:rsidR="0C541B8D" w:rsidRPr="3CAD1133">
        <w:rPr>
          <w:sz w:val="24"/>
          <w:szCs w:val="24"/>
        </w:rPr>
        <w:t xml:space="preserve"> formats</w:t>
      </w:r>
      <w:r w:rsidR="4C500F78" w:rsidRPr="3CAD1133">
        <w:rPr>
          <w:sz w:val="24"/>
          <w:szCs w:val="24"/>
        </w:rPr>
        <w:t xml:space="preserve"> (each format 1-</w:t>
      </w:r>
      <w:r>
        <w:rPr>
          <w:sz w:val="24"/>
          <w:szCs w:val="24"/>
        </w:rPr>
        <w:t>2</w:t>
      </w:r>
      <w:r w:rsidR="4C500F78" w:rsidRPr="3CAD1133">
        <w:rPr>
          <w:sz w:val="24"/>
          <w:szCs w:val="24"/>
        </w:rPr>
        <w:t xml:space="preserve"> versions)</w:t>
      </w:r>
    </w:p>
    <w:p w14:paraId="0063045E" w14:textId="63721C27" w:rsidR="14997EF0" w:rsidRDefault="14997EF0"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4841B67F"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77777777" w:rsidR="001E742F" w:rsidRDefault="00432F13" w:rsidP="3CAD1133">
      <w:pPr>
        <w:rPr>
          <w:noProof/>
        </w:rPr>
      </w:pPr>
      <w:r>
        <w:rPr>
          <w:noProof/>
        </w:rPr>
        <w:drawing>
          <wp:anchor distT="0" distB="0" distL="114300" distR="114300" simplePos="0" relativeHeight="251658240" behindDoc="0" locked="0" layoutInCell="1" allowOverlap="1" wp14:anchorId="7B0BB6B4" wp14:editId="4D060A2E">
            <wp:simplePos x="914400" y="3752850"/>
            <wp:positionH relativeFrom="column">
              <wp:align>left</wp:align>
            </wp:positionH>
            <wp:positionV relativeFrom="paragraph">
              <wp:align>top</wp:align>
            </wp:positionV>
            <wp:extent cx="2724150" cy="2162175"/>
            <wp:effectExtent l="0" t="0" r="0" b="9525"/>
            <wp:wrapSquare wrapText="bothSides"/>
            <wp:docPr id="1562769585" name="Chart 1">
              <a:extLst xmlns:a="http://schemas.openxmlformats.org/drawingml/2006/main">
                <a:ext uri="{FF2B5EF4-FFF2-40B4-BE49-F238E27FC236}">
                  <a16:creationId xmlns:a16="http://schemas.microsoft.com/office/drawing/2014/main" id="{86515C45-6C52-DBB1-FAA8-73BCC91D9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FE17C46" w14:textId="77777777" w:rsidR="001E742F" w:rsidRPr="001E742F" w:rsidRDefault="001E742F" w:rsidP="001E742F"/>
    <w:p w14:paraId="0D62C7A1" w14:textId="77777777" w:rsidR="001E742F" w:rsidRPr="001E742F" w:rsidRDefault="001E742F" w:rsidP="001E742F"/>
    <w:p w14:paraId="5A79F794" w14:textId="77777777" w:rsidR="001E742F" w:rsidRPr="001E742F" w:rsidRDefault="001E742F" w:rsidP="001E742F"/>
    <w:p w14:paraId="095B9698" w14:textId="77777777" w:rsidR="001E742F" w:rsidRDefault="001E742F" w:rsidP="3CAD1133">
      <w:pPr>
        <w:rPr>
          <w:noProof/>
        </w:rPr>
      </w:pPr>
    </w:p>
    <w:p w14:paraId="2D0ADC33" w14:textId="19AD0091" w:rsidR="3FC01873" w:rsidRDefault="001E742F" w:rsidP="001E742F">
      <w:pPr>
        <w:tabs>
          <w:tab w:val="left" w:pos="4095"/>
        </w:tabs>
      </w:pPr>
      <w:r>
        <w:tab/>
      </w:r>
      <w:r>
        <w:br w:type="textWrapping" w:clear="all"/>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77FD332A" w14:textId="53436C91" w:rsidR="14997EF0" w:rsidRDefault="5EADBC6B" w:rsidP="48D5E1DA">
      <w:pPr>
        <w:rPr>
          <w:sz w:val="24"/>
          <w:szCs w:val="24"/>
        </w:rPr>
      </w:pPr>
      <w:r w:rsidRPr="48D5E1DA">
        <w:rPr>
          <w:sz w:val="24"/>
          <w:szCs w:val="24"/>
        </w:rPr>
        <w:t xml:space="preserve">The </w:t>
      </w:r>
      <w:r w:rsidR="009C632B">
        <w:rPr>
          <w:sz w:val="24"/>
          <w:szCs w:val="24"/>
        </w:rPr>
        <w:t xml:space="preserve">percentage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0731F3F7" w14:textId="6CA1DEF2" w:rsidR="14997EF0" w:rsidRDefault="008F63EC" w:rsidP="14997EF0">
      <w:r>
        <w:rPr>
          <w:noProof/>
        </w:rPr>
        <w:drawing>
          <wp:inline distT="0" distB="0" distL="0" distR="0" wp14:anchorId="18F2C8C7" wp14:editId="779489DC">
            <wp:extent cx="4133850" cy="1933575"/>
            <wp:effectExtent l="0" t="0" r="0" b="9525"/>
            <wp:docPr id="1246523495" name="Chart 1">
              <a:extLst xmlns:a="http://schemas.openxmlformats.org/drawingml/2006/main">
                <a:ext uri="{FF2B5EF4-FFF2-40B4-BE49-F238E27FC236}">
                  <a16:creationId xmlns:a16="http://schemas.microsoft.com/office/drawing/2014/main" id="{E88EDE7A-17B4-67DC-CEFA-325A1FCC8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2C6370" w14:textId="77777777" w:rsidR="001E742F" w:rsidRDefault="001E742F" w:rsidP="3CAD1133">
      <w:pPr>
        <w:rPr>
          <w:b/>
          <w:bCs/>
          <w:sz w:val="24"/>
          <w:szCs w:val="24"/>
        </w:rPr>
      </w:pPr>
    </w:p>
    <w:p w14:paraId="6CD56116" w14:textId="44A62D80" w:rsidR="27C1ED14" w:rsidRDefault="5CA8BAD3" w:rsidP="3CAD1133">
      <w:pPr>
        <w:rPr>
          <w:b/>
          <w:bCs/>
          <w:sz w:val="24"/>
          <w:szCs w:val="24"/>
        </w:rPr>
      </w:pPr>
      <w:r w:rsidRPr="48D5E1DA">
        <w:rPr>
          <w:b/>
          <w:bCs/>
          <w:sz w:val="24"/>
          <w:szCs w:val="24"/>
        </w:rPr>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707BE5EC" w:rsidR="658E5275" w:rsidRDefault="003E61B6" w:rsidP="3CAD1133">
      <w:r>
        <w:rPr>
          <w:noProof/>
        </w:rPr>
        <w:drawing>
          <wp:inline distT="0" distB="0" distL="0" distR="0" wp14:anchorId="5C30844C" wp14:editId="0606C6D2">
            <wp:extent cx="3990975" cy="2362200"/>
            <wp:effectExtent l="0" t="0" r="9525" b="0"/>
            <wp:docPr id="361912092" name="Chart 1">
              <a:extLst xmlns:a="http://schemas.openxmlformats.org/drawingml/2006/main">
                <a:ext uri="{FF2B5EF4-FFF2-40B4-BE49-F238E27FC236}">
                  <a16:creationId xmlns:a16="http://schemas.microsoft.com/office/drawing/2014/main" id="{17572397-E9D0-061A-3FFA-C1C188990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23BF6B86" w:rsidR="4C28C068" w:rsidRDefault="3034382D" w:rsidP="14997EF0">
      <w:r>
        <w:t xml:space="preserve">There are </w:t>
      </w:r>
      <w:r w:rsidR="00553B9E">
        <w:t>4</w:t>
      </w:r>
      <w:r>
        <w:t xml:space="preserve"> AIPs. Of these, </w:t>
      </w:r>
      <w:r w:rsidR="00553B9E">
        <w:t>3</w:t>
      </w:r>
      <w:r>
        <w:t xml:space="preserve"> (</w:t>
      </w:r>
      <w:r w:rsidR="00553B9E">
        <w:t>75</w:t>
      </w:r>
      <w:r>
        <w:t xml:space="preserve">%) </w:t>
      </w:r>
      <w:r w:rsidR="0C828F23">
        <w:t>contain</w:t>
      </w:r>
      <w:r w:rsidR="00553B9E">
        <w:t xml:space="preserve"> less than 5 formats</w:t>
      </w:r>
      <w:r>
        <w:t xml:space="preserve">. There </w:t>
      </w:r>
      <w:proofErr w:type="gramStart"/>
      <w:r>
        <w:t>are</w:t>
      </w:r>
      <w:proofErr w:type="gramEnd"/>
      <w:r>
        <w:t xml:space="preserve"> </w:t>
      </w:r>
      <w:r w:rsidR="00553B9E">
        <w:t>1</w:t>
      </w:r>
      <w:r>
        <w:t xml:space="preserve"> AIP (</w:t>
      </w:r>
      <w:r w:rsidR="00553B9E">
        <w:t>2</w:t>
      </w:r>
      <w:r w:rsidR="692079A9">
        <w:t>5%) with</w:t>
      </w:r>
      <w:r w:rsidR="00553B9E">
        <w:t xml:space="preserve"> 5</w:t>
      </w:r>
      <w:r w:rsidR="692079A9">
        <w:t xml:space="preserve"> form</w:t>
      </w:r>
      <w:r w:rsidR="061BF8BF">
        <w:t>at</w:t>
      </w:r>
      <w:r w:rsidR="692079A9">
        <w:t xml:space="preserve">s, the highest </w:t>
      </w:r>
      <w:r w:rsidR="00553B9E">
        <w:t>number</w:t>
      </w:r>
      <w:r w:rsidR="692079A9">
        <w:t>.</w:t>
      </w:r>
      <w:r>
        <w:t xml:space="preserve"> </w:t>
      </w:r>
    </w:p>
    <w:p w14:paraId="4F51BF91" w14:textId="786F6F53" w:rsidR="4E8C0DAC" w:rsidRDefault="4E8C0DAC" w:rsidP="3CAD1133">
      <w:r>
        <w:t xml:space="preserve">In this histogram below, </w:t>
      </w:r>
      <w:r w:rsidR="4DAAEC65">
        <w:t xml:space="preserve">other than the first bar, the first number in the label is not included in the bar. So, </w:t>
      </w:r>
      <w:r>
        <w:t>the bar [</w:t>
      </w:r>
      <w:r w:rsidR="00553B9E">
        <w:t>3</w:t>
      </w:r>
      <w:r>
        <w:t>,</w:t>
      </w:r>
      <w:r w:rsidR="00553B9E">
        <w:t>4</w:t>
      </w:r>
      <w:r>
        <w:t>]</w:t>
      </w:r>
      <w:r w:rsidR="65E611EA">
        <w:t xml:space="preserve"> has the number of AIPs with </w:t>
      </w:r>
      <w:r w:rsidR="00553B9E">
        <w:t>3</w:t>
      </w:r>
      <w:r w:rsidR="347FFA5F">
        <w:t>-</w:t>
      </w:r>
      <w:r w:rsidR="00553B9E">
        <w:t>4</w:t>
      </w:r>
      <w:r w:rsidR="65E611EA">
        <w:t xml:space="preserve"> formats</w:t>
      </w:r>
      <w:r w:rsidR="22863281">
        <w:t xml:space="preserve"> but the bar (</w:t>
      </w:r>
      <w:r w:rsidR="00553B9E">
        <w:t>4</w:t>
      </w:r>
      <w:r w:rsidR="22863281">
        <w:t xml:space="preserve">,5] has the number of AIPs with 5 </w:t>
      </w:r>
      <w:r w:rsidR="1F898F4E">
        <w:t>formats</w:t>
      </w:r>
      <w:r w:rsidR="65E611EA">
        <w:t>.</w:t>
      </w:r>
    </w:p>
    <w:p w14:paraId="5A4552AC" w14:textId="5C3623DF" w:rsidR="4E8C0DAC" w:rsidRDefault="00553B9E" w:rsidP="3CAD1133">
      <w:r>
        <w:rPr>
          <w:noProof/>
        </w:rPr>
        <mc:AlternateContent>
          <mc:Choice Requires="cx1">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40B05BE" wp14:editId="1996D9BB">
                <wp:extent cx="4838700" cy="1504950"/>
                <wp:effectExtent l="0" t="0" r="0" b="0"/>
                <wp:docPr id="1362552331" name="Chart 1">
                  <a:extLst xmlns:a="http://schemas.openxmlformats.org/drawingml/2006/main">
                    <a:ext uri="{FF2B5EF4-FFF2-40B4-BE49-F238E27FC236}">
                      <a16:creationId xmlns:a16="http://schemas.microsoft.com/office/drawing/2014/main" id="{BE1088F1-7692-F2D8-20C1-4F70967540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62552331" name="Chart 1">
                          <a:extLst>
                            <a:ext uri="{FF2B5EF4-FFF2-40B4-BE49-F238E27FC236}">
                              <a16:creationId xmlns:a16="http://schemas.microsoft.com/office/drawing/2014/main" id="{BE1088F1-7692-F2D8-20C1-4F709675407A}"/>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838700" cy="1504950"/>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3E61B6"/>
    <w:rsid w:val="00432F13"/>
    <w:rsid w:val="005126C2"/>
    <w:rsid w:val="00553B9E"/>
    <w:rsid w:val="008F63EC"/>
    <w:rsid w:val="009C632B"/>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1.xml"/><Relationship Id="rId5" Type="http://schemas.openxmlformats.org/officeDocument/2006/relationships/styles" Target="styles.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C5-4FA7-90E4-6CC0BC2526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C5-4FA7-90E4-6CC0BC2526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C5-4FA7-90E4-6CC0BC2526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C5-4FA7-90E4-6CC0BC2526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Sheet2!$C$24:$F$24</c:f>
              <c:strCache>
                <c:ptCount val="4"/>
                <c:pt idx="0">
                  <c:v>No Match</c:v>
                </c:pt>
                <c:pt idx="1">
                  <c:v>High Risk</c:v>
                </c:pt>
                <c:pt idx="2">
                  <c:v>Moderate Risk</c:v>
                </c:pt>
                <c:pt idx="3">
                  <c:v>Low Risk</c:v>
                </c:pt>
              </c:strCache>
            </c:strRef>
          </c:cat>
          <c:val>
            <c:numRef>
              <c:f>Sheet2!$C$25:$F$25</c:f>
              <c:numCache>
                <c:formatCode>General</c:formatCode>
                <c:ptCount val="4"/>
                <c:pt idx="0">
                  <c:v>28.57</c:v>
                </c:pt>
                <c:pt idx="1">
                  <c:v>0</c:v>
                </c:pt>
                <c:pt idx="2">
                  <c:v>28.57</c:v>
                </c:pt>
                <c:pt idx="3">
                  <c:v>42.86</c:v>
                </c:pt>
              </c:numCache>
            </c:numRef>
          </c:val>
          <c:extLst>
            <c:ext xmlns:c16="http://schemas.microsoft.com/office/drawing/2014/chart" uri="{C3380CC4-5D6E-409C-BE32-E72D297353CC}">
              <c16:uniqueId val="{00000008-D1C5-4FA7-90E4-6CC0BC25260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2021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No Match</c:v>
                </c:pt>
                <c:pt idx="1">
                  <c:v>High Risk</c:v>
                </c:pt>
                <c:pt idx="2">
                  <c:v>Moderate Risk</c:v>
                </c:pt>
                <c:pt idx="3">
                  <c:v>Low Risk</c:v>
                </c:pt>
              </c:strCache>
            </c:strRef>
          </c:cat>
          <c:val>
            <c:numRef>
              <c:f>Sheet1!$B$2:$E$2</c:f>
              <c:numCache>
                <c:formatCode>General</c:formatCode>
                <c:ptCount val="4"/>
                <c:pt idx="0">
                  <c:v>2</c:v>
                </c:pt>
                <c:pt idx="1">
                  <c:v>0</c:v>
                </c:pt>
                <c:pt idx="2">
                  <c:v>0</c:v>
                </c:pt>
                <c:pt idx="3">
                  <c:v>4</c:v>
                </c:pt>
              </c:numCache>
            </c:numRef>
          </c:val>
          <c:extLst>
            <c:ext xmlns:c16="http://schemas.microsoft.com/office/drawing/2014/chart" uri="{C3380CC4-5D6E-409C-BE32-E72D297353CC}">
              <c16:uniqueId val="{00000000-E10F-4A5B-B123-17DFD94C4B3D}"/>
            </c:ext>
          </c:extLst>
        </c:ser>
        <c:ser>
          <c:idx val="1"/>
          <c:order val="1"/>
          <c:tx>
            <c:v>2023</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No Match</c:v>
                </c:pt>
                <c:pt idx="1">
                  <c:v>High Risk</c:v>
                </c:pt>
                <c:pt idx="2">
                  <c:v>Moderate Risk</c:v>
                </c:pt>
                <c:pt idx="3">
                  <c:v>Low Risk</c:v>
                </c:pt>
              </c:strCache>
            </c:strRef>
          </c:cat>
          <c:val>
            <c:numRef>
              <c:f>Sheet1!$B$3:$E$3</c:f>
              <c:numCache>
                <c:formatCode>General</c:formatCode>
                <c:ptCount val="4"/>
                <c:pt idx="0">
                  <c:v>2</c:v>
                </c:pt>
                <c:pt idx="1">
                  <c:v>0</c:v>
                </c:pt>
                <c:pt idx="2">
                  <c:v>2</c:v>
                </c:pt>
                <c:pt idx="3">
                  <c:v>3</c:v>
                </c:pt>
              </c:numCache>
            </c:numRef>
          </c:val>
          <c:extLst>
            <c:ext xmlns:c16="http://schemas.microsoft.com/office/drawing/2014/chart" uri="{C3380CC4-5D6E-409C-BE32-E72D297353CC}">
              <c16:uniqueId val="{00000001-E10F-4A5B-B123-17DFD94C4B3D}"/>
            </c:ext>
          </c:extLst>
        </c:ser>
        <c:dLbls>
          <c:showLegendKey val="0"/>
          <c:showVal val="1"/>
          <c:showCatName val="0"/>
          <c:showSerName val="0"/>
          <c:showPercent val="0"/>
          <c:showBubbleSize val="0"/>
        </c:dLbls>
        <c:gapWidth val="150"/>
        <c:overlap val="-25"/>
        <c:axId val="1907979535"/>
        <c:axId val="674562495"/>
      </c:barChart>
      <c:catAx>
        <c:axId val="1907979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562495"/>
        <c:crosses val="autoZero"/>
        <c:auto val="1"/>
        <c:lblAlgn val="ctr"/>
        <c:lblOffset val="100"/>
        <c:noMultiLvlLbl val="0"/>
      </c:catAx>
      <c:valAx>
        <c:axId val="674562495"/>
        <c:scaling>
          <c:orientation val="minMax"/>
        </c:scaling>
        <c:delete val="1"/>
        <c:axPos val="l"/>
        <c:numFmt formatCode="General" sourceLinked="1"/>
        <c:majorTickMark val="none"/>
        <c:minorTickMark val="none"/>
        <c:tickLblPos val="nextTo"/>
        <c:crossAx val="19079795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Sheet5!$C$1</c:f>
              <c:strCache>
                <c:ptCount val="1"/>
                <c:pt idx="0">
                  <c:v>No Match</c:v>
                </c:pt>
              </c:strCache>
            </c:strRef>
          </c:tx>
          <c:spPr>
            <a:solidFill>
              <a:schemeClr val="accent1"/>
            </a:solidFill>
            <a:ln>
              <a:noFill/>
            </a:ln>
            <a:effectLst/>
          </c:spPr>
          <c:invertIfNegative val="0"/>
          <c:cat>
            <c:strRef>
              <c:f>Sheet5!$A$2:$A$3</c:f>
              <c:strCache>
                <c:ptCount val="2"/>
                <c:pt idx="0">
                  <c:v>test-990</c:v>
                </c:pt>
                <c:pt idx="1">
                  <c:v>test-999</c:v>
                </c:pt>
              </c:strCache>
            </c:strRef>
          </c:cat>
          <c:val>
            <c:numRef>
              <c:f>Sheet5!$C$2:$C$3</c:f>
              <c:numCache>
                <c:formatCode>General</c:formatCode>
                <c:ptCount val="2"/>
                <c:pt idx="0">
                  <c:v>40</c:v>
                </c:pt>
                <c:pt idx="1">
                  <c:v>20</c:v>
                </c:pt>
              </c:numCache>
            </c:numRef>
          </c:val>
          <c:extLst>
            <c:ext xmlns:c16="http://schemas.microsoft.com/office/drawing/2014/chart" uri="{C3380CC4-5D6E-409C-BE32-E72D297353CC}">
              <c16:uniqueId val="{00000000-97BB-4C00-A595-75F717772426}"/>
            </c:ext>
          </c:extLst>
        </c:ser>
        <c:ser>
          <c:idx val="1"/>
          <c:order val="1"/>
          <c:tx>
            <c:strRef>
              <c:f>Sheet5!$D$1</c:f>
              <c:strCache>
                <c:ptCount val="1"/>
                <c:pt idx="0">
                  <c:v>High Risk</c:v>
                </c:pt>
              </c:strCache>
            </c:strRef>
          </c:tx>
          <c:spPr>
            <a:solidFill>
              <a:schemeClr val="accent2"/>
            </a:solidFill>
            <a:ln>
              <a:noFill/>
            </a:ln>
            <a:effectLst/>
          </c:spPr>
          <c:invertIfNegative val="0"/>
          <c:cat>
            <c:strRef>
              <c:f>Sheet5!$A$2:$A$3</c:f>
              <c:strCache>
                <c:ptCount val="2"/>
                <c:pt idx="0">
                  <c:v>test-990</c:v>
                </c:pt>
                <c:pt idx="1">
                  <c:v>test-999</c:v>
                </c:pt>
              </c:strCache>
            </c:strRef>
          </c:cat>
          <c:val>
            <c:numRef>
              <c:f>Sheet5!$D$2:$D$3</c:f>
              <c:numCache>
                <c:formatCode>General</c:formatCode>
                <c:ptCount val="2"/>
                <c:pt idx="0">
                  <c:v>0</c:v>
                </c:pt>
                <c:pt idx="1">
                  <c:v>0</c:v>
                </c:pt>
              </c:numCache>
            </c:numRef>
          </c:val>
          <c:extLst>
            <c:ext xmlns:c16="http://schemas.microsoft.com/office/drawing/2014/chart" uri="{C3380CC4-5D6E-409C-BE32-E72D297353CC}">
              <c16:uniqueId val="{00000001-97BB-4C00-A595-75F717772426}"/>
            </c:ext>
          </c:extLst>
        </c:ser>
        <c:ser>
          <c:idx val="2"/>
          <c:order val="2"/>
          <c:tx>
            <c:strRef>
              <c:f>Sheet5!$E$1</c:f>
              <c:strCache>
                <c:ptCount val="1"/>
                <c:pt idx="0">
                  <c:v>Moderate Risk</c:v>
                </c:pt>
              </c:strCache>
            </c:strRef>
          </c:tx>
          <c:spPr>
            <a:solidFill>
              <a:schemeClr val="accent3"/>
            </a:solidFill>
            <a:ln>
              <a:noFill/>
            </a:ln>
            <a:effectLst/>
          </c:spPr>
          <c:invertIfNegative val="0"/>
          <c:cat>
            <c:strRef>
              <c:f>Sheet5!$A$2:$A$3</c:f>
              <c:strCache>
                <c:ptCount val="2"/>
                <c:pt idx="0">
                  <c:v>test-990</c:v>
                </c:pt>
                <c:pt idx="1">
                  <c:v>test-999</c:v>
                </c:pt>
              </c:strCache>
            </c:strRef>
          </c:cat>
          <c:val>
            <c:numRef>
              <c:f>Sheet5!$E$2:$E$3</c:f>
              <c:numCache>
                <c:formatCode>General</c:formatCode>
                <c:ptCount val="2"/>
                <c:pt idx="0">
                  <c:v>20</c:v>
                </c:pt>
                <c:pt idx="1">
                  <c:v>40</c:v>
                </c:pt>
              </c:numCache>
            </c:numRef>
          </c:val>
          <c:extLst>
            <c:ext xmlns:c16="http://schemas.microsoft.com/office/drawing/2014/chart" uri="{C3380CC4-5D6E-409C-BE32-E72D297353CC}">
              <c16:uniqueId val="{00000002-97BB-4C00-A595-75F717772426}"/>
            </c:ext>
          </c:extLst>
        </c:ser>
        <c:ser>
          <c:idx val="3"/>
          <c:order val="3"/>
          <c:tx>
            <c:strRef>
              <c:f>Sheet5!$F$1</c:f>
              <c:strCache>
                <c:ptCount val="1"/>
                <c:pt idx="0">
                  <c:v>Low Risk</c:v>
                </c:pt>
              </c:strCache>
            </c:strRef>
          </c:tx>
          <c:spPr>
            <a:solidFill>
              <a:schemeClr val="accent4"/>
            </a:solidFill>
            <a:ln>
              <a:noFill/>
            </a:ln>
            <a:effectLst/>
          </c:spPr>
          <c:invertIfNegative val="0"/>
          <c:cat>
            <c:strRef>
              <c:f>Sheet5!$A$2:$A$3</c:f>
              <c:strCache>
                <c:ptCount val="2"/>
                <c:pt idx="0">
                  <c:v>test-990</c:v>
                </c:pt>
                <c:pt idx="1">
                  <c:v>test-999</c:v>
                </c:pt>
              </c:strCache>
            </c:strRef>
          </c:cat>
          <c:val>
            <c:numRef>
              <c:f>Sheet5!$F$2:$F$3</c:f>
              <c:numCache>
                <c:formatCode>General</c:formatCode>
                <c:ptCount val="2"/>
                <c:pt idx="0">
                  <c:v>40</c:v>
                </c:pt>
                <c:pt idx="1">
                  <c:v>40</c:v>
                </c:pt>
              </c:numCache>
            </c:numRef>
          </c:val>
          <c:extLst>
            <c:ext xmlns:c16="http://schemas.microsoft.com/office/drawing/2014/chart" uri="{C3380CC4-5D6E-409C-BE32-E72D297353CC}">
              <c16:uniqueId val="{00000003-97BB-4C00-A595-75F717772426}"/>
            </c:ext>
          </c:extLst>
        </c:ser>
        <c:dLbls>
          <c:showLegendKey val="0"/>
          <c:showVal val="0"/>
          <c:showCatName val="0"/>
          <c:showSerName val="0"/>
          <c:showPercent val="0"/>
          <c:showBubbleSize val="0"/>
        </c:dLbls>
        <c:gapWidth val="150"/>
        <c:overlap val="100"/>
        <c:axId val="1449124319"/>
        <c:axId val="1802657631"/>
      </c:barChart>
      <c:catAx>
        <c:axId val="144912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657631"/>
        <c:crosses val="autoZero"/>
        <c:auto val="1"/>
        <c:lblAlgn val="ctr"/>
        <c:lblOffset val="100"/>
        <c:noMultiLvlLbl val="0"/>
      </c:catAx>
      <c:valAx>
        <c:axId val="18026576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2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Sheet6!$A$30:$A$33</cx:f>
        <cx:lvl ptCount="4">
          <cx:pt idx="0">test-999-er-222222</cx:pt>
          <cx:pt idx="1">test-999-er-111111</cx:pt>
          <cx:pt idx="2">test-999-er-333333</cx:pt>
          <cx:pt idx="3">test-990-er-123456</cx:pt>
        </cx:lvl>
      </cx:strDim>
      <cx:numDim type="val">
        <cx:f>Sheet6!$B$30:$B$33</cx:f>
        <cx:lvl ptCount="4" formatCode="General">
          <cx:pt idx="0">3</cx:pt>
          <cx:pt idx="1">4</cx:pt>
          <cx:pt idx="2">4</cx:pt>
          <cx:pt idx="3">5</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formats in an AIP</a:t>
          </a:r>
        </a:p>
      </cx:txPr>
    </cx:title>
    <cx:plotArea>
      <cx:plotAreaRegion>
        <cx:series layoutId="clusteredColumn" uniqueId="{B377C742-C498-4CD1-A3D3-C5303271501A}">
          <cx:tx>
            <cx:txData>
              <cx:f>Sheet6!$B$29</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5</cp:revision>
  <dcterms:created xsi:type="dcterms:W3CDTF">2023-09-13T18:30:00Z</dcterms:created>
  <dcterms:modified xsi:type="dcterms:W3CDTF">2023-11-06T13:01:00Z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