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w:t>
      </w:r>
      <w:proofErr w:type="spellStart"/>
      <w:r w:rsidR="7FAC9B96" w:rsidRPr="00C10CCB">
        <w:rPr>
          <w:b/>
          <w:bCs/>
        </w:rPr>
        <w:t>ARCHive</w:t>
      </w:r>
      <w:proofErr w:type="spellEnd"/>
      <w:r w:rsidR="7FAC9B96" w:rsidRPr="00C10CCB">
        <w:rPr>
          <w:b/>
          <w:bCs/>
        </w:rPr>
        <w:t xml:space="preser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proofErr w:type="spellStart"/>
      <w:r w:rsidRPr="48D5E1DA">
        <w:rPr>
          <w:sz w:val="24"/>
          <w:szCs w:val="24"/>
        </w:rPr>
        <w:t>ARCHive</w:t>
      </w:r>
      <w:proofErr w:type="spellEnd"/>
      <w:r w:rsidRPr="48D5E1DA">
        <w:rPr>
          <w:sz w:val="24"/>
          <w:szCs w:val="24"/>
        </w:rPr>
        <w:t xml:space="preser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24BD3AC9" w:rsidR="14997EF0" w:rsidRPr="008542F6" w:rsidRDefault="008542F6" w:rsidP="001E742F">
      <w:pPr>
        <w:spacing w:after="0"/>
        <w:rPr>
          <w:sz w:val="24"/>
          <w:szCs w:val="24"/>
        </w:rPr>
      </w:pPr>
      <w:r w:rsidRPr="008542F6">
        <w:rPr>
          <w:sz w:val="24"/>
          <w:szCs w:val="24"/>
        </w:rPr>
        <w:t>For the rest of the report, “format” refers to the specific version of each format.</w:t>
      </w:r>
    </w:p>
    <w:p w14:paraId="2AF06343" w14:textId="77777777" w:rsidR="008542F6" w:rsidRDefault="008542F6"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315B851C"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77421DCC"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554B365D" w:rsidR="3B9CE191" w:rsidRDefault="003E7CE3" w:rsidP="48D5E1DA">
      <w:pPr>
        <w:rPr>
          <w:b/>
          <w:bCs/>
          <w:sz w:val="24"/>
          <w:szCs w:val="24"/>
        </w:rPr>
      </w:pPr>
      <w:r>
        <w:rPr>
          <w:rStyle w:val="normaltextrun"/>
          <w:rFonts w:ascii="Calibri" w:hAnsi="Calibri" w:cs="Calibri"/>
          <w:color w:val="000000"/>
          <w:shd w:val="clear" w:color="auto" w:fill="FFFFFF"/>
        </w:rPr>
        <w:t>The percentage of formats at each risk level in each collection. The goal is to visualize how many collections have a high percentage of risk vs. low percentage of risk. The risk report spreadsheet (“</w:t>
      </w:r>
      <w:proofErr w:type="spellStart"/>
      <w:r>
        <w:rPr>
          <w:rStyle w:val="normaltextrun"/>
          <w:rFonts w:ascii="Calibri" w:hAnsi="Calibri" w:cs="Calibri"/>
          <w:color w:val="000000"/>
          <w:shd w:val="clear" w:color="auto" w:fill="FFFFFF"/>
        </w:rPr>
        <w:t>Collection_Risk_Levels</w:t>
      </w:r>
      <w:proofErr w:type="spellEnd"/>
      <w:r>
        <w:rPr>
          <w:rStyle w:val="normaltextrun"/>
          <w:rFonts w:ascii="Calibri" w:hAnsi="Calibri" w:cs="Calibri"/>
          <w:color w:val="000000"/>
          <w:shd w:val="clear" w:color="auto" w:fill="FFFFFF"/>
        </w:rPr>
        <w:t>”)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4574A" w14:textId="77777777" w:rsidR="00EA6B3A" w:rsidRDefault="00EA6B3A" w:rsidP="00C60C11">
      <w:pPr>
        <w:spacing w:after="0" w:line="240" w:lineRule="auto"/>
      </w:pPr>
      <w:r>
        <w:separator/>
      </w:r>
    </w:p>
  </w:endnote>
  <w:endnote w:type="continuationSeparator" w:id="0">
    <w:p w14:paraId="145C1C9E" w14:textId="77777777" w:rsidR="00EA6B3A" w:rsidRDefault="00EA6B3A"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64851" w14:textId="77777777" w:rsidR="00EA6B3A" w:rsidRDefault="00EA6B3A" w:rsidP="00C60C11">
      <w:pPr>
        <w:spacing w:after="0" w:line="240" w:lineRule="auto"/>
      </w:pPr>
      <w:r>
        <w:separator/>
      </w:r>
    </w:p>
  </w:footnote>
  <w:footnote w:type="continuationSeparator" w:id="0">
    <w:p w14:paraId="2EA67257" w14:textId="77777777" w:rsidR="00EA6B3A" w:rsidRDefault="00EA6B3A"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814305"/>
    <w:rsid w:val="008542F6"/>
    <w:rsid w:val="00870AAE"/>
    <w:rsid w:val="008F63EC"/>
    <w:rsid w:val="009C632B"/>
    <w:rsid w:val="00C10CCB"/>
    <w:rsid w:val="00C60C11"/>
    <w:rsid w:val="00CD6437"/>
    <w:rsid w:val="00CD6C13"/>
    <w:rsid w:val="00EA6B3A"/>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10</cp:revision>
  <dcterms:created xsi:type="dcterms:W3CDTF">2023-09-13T18:30:00Z</dcterms:created>
  <dcterms:modified xsi:type="dcterms:W3CDTF">2023-12-04T15:37:00Z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