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Pr="00C10CCB" w:rsidRDefault="00CD6C13" w:rsidP="00C10CCB">
      <w:pPr>
        <w:jc w:val="center"/>
        <w:rPr>
          <w:b/>
          <w:bCs/>
        </w:rPr>
      </w:pPr>
      <w:r w:rsidRPr="00C10CCB">
        <w:rPr>
          <w:b/>
          <w:bCs/>
        </w:rPr>
        <w:t>Test</w:t>
      </w:r>
      <w:r w:rsidR="7FAC9B96" w:rsidRPr="00C10CCB">
        <w:rPr>
          <w:b/>
          <w:bCs/>
        </w:rPr>
        <w:t xml:space="preserve"> ARCHive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955B872" w:rsidR="72FC11E4" w:rsidRDefault="72FC11E4" w:rsidP="48D5E1DA">
      <w:pPr>
        <w:rPr>
          <w:sz w:val="24"/>
          <w:szCs w:val="24"/>
        </w:rPr>
      </w:pPr>
      <w:r w:rsidRPr="48D5E1DA">
        <w:rPr>
          <w:sz w:val="24"/>
          <w:szCs w:val="24"/>
        </w:rPr>
        <w:t xml:space="preserve">This report summarizes </w:t>
      </w:r>
      <w:r w:rsidR="00CD6C13">
        <w:rPr>
          <w:sz w:val="24"/>
          <w:szCs w:val="24"/>
        </w:rPr>
        <w:t xml:space="preserve">the Test </w:t>
      </w:r>
      <w:r w:rsidRPr="48D5E1DA">
        <w:rPr>
          <w:sz w:val="24"/>
          <w:szCs w:val="24"/>
        </w:rPr>
        <w:t>ARCHive holdings as of 2023-1</w:t>
      </w:r>
      <w:r w:rsidR="00CD6C13">
        <w:rPr>
          <w:sz w:val="24"/>
          <w:szCs w:val="24"/>
        </w:rPr>
        <w:t>1</w:t>
      </w:r>
      <w:r w:rsidRPr="48D5E1DA">
        <w:rPr>
          <w:sz w:val="24"/>
          <w:szCs w:val="24"/>
        </w:rPr>
        <w:t>-</w:t>
      </w:r>
      <w:r w:rsidR="00CD6C13">
        <w:rPr>
          <w:sz w:val="24"/>
          <w:szCs w:val="24"/>
        </w:rPr>
        <w:t>03</w:t>
      </w:r>
      <w:r w:rsidRPr="48D5E1DA">
        <w:rPr>
          <w:sz w:val="24"/>
          <w:szCs w:val="24"/>
        </w:rPr>
        <w:t>.</w:t>
      </w:r>
      <w:r w:rsidR="67CA886C" w:rsidRPr="48D5E1DA">
        <w:rPr>
          <w:sz w:val="24"/>
          <w:szCs w:val="24"/>
        </w:rPr>
        <w:t xml:space="preserve"> Throughout, “format” refers to a specific version of a format.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64EF0CDF" w:rsidR="263D1F93" w:rsidRDefault="00C10CCB" w:rsidP="00C60C11">
      <w:pPr>
        <w:pStyle w:val="ListParagraph"/>
        <w:numPr>
          <w:ilvl w:val="0"/>
          <w:numId w:val="1"/>
        </w:numPr>
        <w:spacing w:after="0"/>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1-</w:t>
      </w:r>
      <w:r>
        <w:rPr>
          <w:sz w:val="24"/>
          <w:szCs w:val="24"/>
        </w:rPr>
        <w:t>4</w:t>
      </w:r>
      <w:r w:rsidR="4C500F78" w:rsidRPr="3CAD1133">
        <w:rPr>
          <w:sz w:val="24"/>
          <w:szCs w:val="24"/>
        </w:rPr>
        <w:t xml:space="preserve"> versions)</w:t>
      </w:r>
    </w:p>
    <w:p w14:paraId="0063045E" w14:textId="63721C27" w:rsidR="14997EF0" w:rsidRDefault="14997EF0" w:rsidP="001E742F">
      <w:pPr>
        <w:spacing w:after="0"/>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315B851C"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risk level for the entire department.</w:t>
      </w:r>
    </w:p>
    <w:p w14:paraId="788F2FB0" w14:textId="3EEEE046" w:rsidR="001E742F" w:rsidRDefault="00C60C11" w:rsidP="3CAD1133">
      <w:pPr>
        <w:rPr>
          <w:noProof/>
        </w:rPr>
      </w:pPr>
      <w:r>
        <w:rPr>
          <w:noProof/>
        </w:rPr>
        <w:br w:type="textWrapping" w:clear="all"/>
      </w:r>
      <w:r w:rsidR="00870AAE">
        <w:rPr>
          <w:noProof/>
        </w:rPr>
        <w:drawing>
          <wp:inline distT="0" distB="0" distL="0" distR="0" wp14:anchorId="6D1EAB5A" wp14:editId="5A525A97">
            <wp:extent cx="3076575" cy="2333625"/>
            <wp:effectExtent l="0" t="0" r="9525" b="9525"/>
            <wp:docPr id="2132129751" name="Chart 1">
              <a:extLst xmlns:a="http://schemas.openxmlformats.org/drawingml/2006/main">
                <a:ext uri="{FF2B5EF4-FFF2-40B4-BE49-F238E27FC236}">
                  <a16:creationId xmlns:a16="http://schemas.microsoft.com/office/drawing/2014/main" id="{77C43CFF-E2AB-AF5D-FB81-BDE434084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38A34B" w14:textId="37FC05ED"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731F3F7" w14:textId="4D449661" w:rsidR="14997EF0" w:rsidRPr="00C60C11" w:rsidRDefault="5EADBC6B" w:rsidP="00C60C11">
      <w:pPr>
        <w:rPr>
          <w:sz w:val="24"/>
          <w:szCs w:val="24"/>
        </w:rPr>
      </w:pPr>
      <w:r w:rsidRPr="48D5E1DA">
        <w:rPr>
          <w:sz w:val="24"/>
          <w:szCs w:val="24"/>
        </w:rPr>
        <w:t xml:space="preserve">The </w:t>
      </w:r>
      <w:r w:rsidR="009C632B">
        <w:rPr>
          <w:sz w:val="24"/>
          <w:szCs w:val="24"/>
        </w:rPr>
        <w:t xml:space="preserve">percentage </w:t>
      </w:r>
      <w:r w:rsidR="16E17DB5" w:rsidRPr="48D5E1DA">
        <w:rPr>
          <w:sz w:val="24"/>
          <w:szCs w:val="24"/>
        </w:rPr>
        <w:t xml:space="preserve">of formats at each 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362C6370" w14:textId="2CC4F344" w:rsidR="001E742F" w:rsidRDefault="00814305" w:rsidP="3CAD1133">
      <w:pPr>
        <w:rPr>
          <w:b/>
          <w:bCs/>
          <w:sz w:val="24"/>
          <w:szCs w:val="24"/>
        </w:rPr>
      </w:pPr>
      <w:r>
        <w:rPr>
          <w:noProof/>
        </w:rPr>
        <w:drawing>
          <wp:inline distT="0" distB="0" distL="0" distR="0" wp14:anchorId="1AB53958" wp14:editId="2F48F9AC">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D56116" w14:textId="44A62D80" w:rsidR="27C1ED14" w:rsidRDefault="5CA8BAD3" w:rsidP="3CAD1133">
      <w:pPr>
        <w:rPr>
          <w:b/>
          <w:bCs/>
          <w:sz w:val="24"/>
          <w:szCs w:val="24"/>
        </w:rPr>
      </w:pPr>
      <w:r w:rsidRPr="48D5E1DA">
        <w:rPr>
          <w:b/>
          <w:bCs/>
          <w:sz w:val="24"/>
          <w:szCs w:val="24"/>
        </w:rPr>
        <w:lastRenderedPageBreak/>
        <w:t>Risk By Collection</w:t>
      </w:r>
    </w:p>
    <w:p w14:paraId="01412EC7" w14:textId="1CD2749B" w:rsidR="3B9CE191" w:rsidRDefault="3B9CE191" w:rsidP="48D5E1DA">
      <w:pPr>
        <w:rPr>
          <w:b/>
          <w:bCs/>
          <w:sz w:val="24"/>
          <w:szCs w:val="24"/>
        </w:rPr>
      </w:pPr>
      <w:r w:rsidRPr="48D5E1DA">
        <w:rPr>
          <w:sz w:val="24"/>
          <w:szCs w:val="24"/>
        </w:rPr>
        <w:t>The percentage of formats at each risk level in each collection.</w:t>
      </w:r>
    </w:p>
    <w:p w14:paraId="781DAB88" w14:textId="4E405DFB" w:rsidR="658E5275" w:rsidRDefault="00870AAE" w:rsidP="3CAD1133">
      <w:r>
        <w:rPr>
          <w:noProof/>
        </w:rPr>
        <w:drawing>
          <wp:inline distT="0" distB="0" distL="0" distR="0" wp14:anchorId="16624233" wp14:editId="5292541A">
            <wp:extent cx="4572000" cy="2743200"/>
            <wp:effectExtent l="0" t="0" r="0" b="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51661199"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B3710" w14:textId="77777777" w:rsidR="002413BB" w:rsidRDefault="002413BB" w:rsidP="00C60C11">
      <w:pPr>
        <w:spacing w:after="0" w:line="240" w:lineRule="auto"/>
      </w:pPr>
      <w:r>
        <w:separator/>
      </w:r>
    </w:p>
  </w:endnote>
  <w:endnote w:type="continuationSeparator" w:id="0">
    <w:p w14:paraId="3A4A5B48" w14:textId="77777777" w:rsidR="002413BB" w:rsidRDefault="002413BB"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33C1E" w14:textId="77777777" w:rsidR="002413BB" w:rsidRDefault="002413BB" w:rsidP="00C60C11">
      <w:pPr>
        <w:spacing w:after="0" w:line="240" w:lineRule="auto"/>
      </w:pPr>
      <w:r>
        <w:separator/>
      </w:r>
    </w:p>
  </w:footnote>
  <w:footnote w:type="continuationSeparator" w:id="0">
    <w:p w14:paraId="761602D6" w14:textId="77777777" w:rsidR="002413BB" w:rsidRDefault="002413BB"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2413BB"/>
    <w:rsid w:val="003E61B6"/>
    <w:rsid w:val="00432F13"/>
    <w:rsid w:val="005126C2"/>
    <w:rsid w:val="00553B9E"/>
    <w:rsid w:val="00814305"/>
    <w:rsid w:val="00870AAE"/>
    <w:rsid w:val="008F63EC"/>
    <w:rsid w:val="009C632B"/>
    <w:rsid w:val="00C10CCB"/>
    <w:rsid w:val="00C60C11"/>
    <w:rsid w:val="00CD6437"/>
    <w:rsid w:val="00CD6C13"/>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4-4B37-9574-B12F1B9C1B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4-4B37-9574-B12F1B9C1B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4-4B37-9574-B12F1B9C1B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4-4B37-9574-B12F1B9C1B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11.76</c:v>
                </c:pt>
                <c:pt idx="1">
                  <c:v>0</c:v>
                </c:pt>
                <c:pt idx="2">
                  <c:v>29.41</c:v>
                </c:pt>
                <c:pt idx="3">
                  <c:v>58.82</c:v>
                </c:pt>
              </c:numCache>
            </c:numRef>
          </c:val>
          <c:extLst>
            <c:ext xmlns:c16="http://schemas.microsoft.com/office/drawing/2014/chart" uri="{C3380CC4-5D6E-409C-BE32-E72D297353CC}">
              <c16:uniqueId val="{00000008-7B14-4B37-9574-B12F1B9C1BF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63A-486A-83D4-EFB610B25B4B}"/>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63A-486A-83D4-EFB610B25B4B}"/>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customXml/itemProps3.xml><?xml version="1.0" encoding="utf-8"?>
<ds:datastoreItem xmlns:ds="http://schemas.openxmlformats.org/officeDocument/2006/customXml" ds:itemID="{E4186ADF-D65F-4831-A5F1-84EBBAB58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M Hanson</cp:lastModifiedBy>
  <cp:revision>6</cp:revision>
  <dcterms:created xsi:type="dcterms:W3CDTF">2023-09-13T18:30:00Z</dcterms:created>
  <dcterms:modified xsi:type="dcterms:W3CDTF">2023-11-06T17:29:00Z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