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32770" w14:textId="3CB19B40" w:rsidR="7FAC9B96" w:rsidRPr="00AA647C" w:rsidRDefault="00CD6C13" w:rsidP="00C10CCB">
      <w:pPr>
        <w:jc w:val="center"/>
        <w:rPr>
          <w:b/>
          <w:bCs/>
          <w:sz w:val="24"/>
          <w:szCs w:val="28"/>
        </w:rPr>
      </w:pPr>
      <w:r w:rsidRPr="00AA647C">
        <w:rPr>
          <w:b/>
          <w:bCs/>
          <w:sz w:val="24"/>
          <w:szCs w:val="28"/>
        </w:rPr>
        <w:t>Test</w:t>
      </w:r>
      <w:r w:rsidR="7FAC9B96" w:rsidRPr="00AA647C">
        <w:rPr>
          <w:b/>
          <w:bCs/>
          <w:sz w:val="24"/>
          <w:szCs w:val="28"/>
        </w:rPr>
        <w:t xml:space="preserve"> ARCHive Format Risk Report</w:t>
      </w:r>
    </w:p>
    <w:p w14:paraId="06E2CE74" w14:textId="51E42182" w:rsidR="14997EF0" w:rsidRPr="00AA647C" w:rsidRDefault="14997EF0" w:rsidP="00AA647C">
      <w:pPr>
        <w:spacing w:after="0"/>
        <w:rPr>
          <w:b/>
          <w:bCs/>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201ECBD9"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w:t>
      </w:r>
      <w:r w:rsidR="005D3E32">
        <w:rPr>
          <w:sz w:val="24"/>
          <w:szCs w:val="24"/>
        </w:rPr>
        <w:t xml:space="preserve">has </w:t>
      </w:r>
      <w:r w:rsidR="4C500F78" w:rsidRPr="3CAD1133">
        <w:rPr>
          <w:sz w:val="24"/>
          <w:szCs w:val="24"/>
        </w:rPr>
        <w:t>1-</w:t>
      </w:r>
      <w:r>
        <w:rPr>
          <w:sz w:val="24"/>
          <w:szCs w:val="24"/>
        </w:rPr>
        <w:t>4</w:t>
      </w:r>
      <w:r w:rsidR="4C500F78" w:rsidRPr="3CAD1133">
        <w:rPr>
          <w:sz w:val="24"/>
          <w:szCs w:val="24"/>
        </w:rPr>
        <w:t xml:space="preserve"> versions)</w:t>
      </w:r>
    </w:p>
    <w:p w14:paraId="0063045E" w14:textId="24BD3AC9" w:rsidR="14997EF0" w:rsidRPr="008542F6" w:rsidRDefault="008542F6" w:rsidP="009840AF">
      <w:pPr>
        <w:rPr>
          <w:sz w:val="24"/>
          <w:szCs w:val="24"/>
        </w:rPr>
      </w:pPr>
      <w:r w:rsidRPr="008542F6">
        <w:rPr>
          <w:sz w:val="24"/>
          <w:szCs w:val="24"/>
        </w:rPr>
        <w:t>For the rest of the report, “format” refers to the specific version of each format.</w:t>
      </w:r>
    </w:p>
    <w:p w14:paraId="2AF06343" w14:textId="77777777" w:rsidR="008542F6" w:rsidRPr="00AA647C" w:rsidRDefault="008542F6" w:rsidP="00AA647C">
      <w:pPr>
        <w:spacing w:after="0"/>
        <w:rPr>
          <w:b/>
          <w:bCs/>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265A249F"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w:t>
      </w:r>
      <w:r w:rsidR="009D5DB5">
        <w:rPr>
          <w:sz w:val="24"/>
          <w:szCs w:val="24"/>
        </w:rPr>
        <w:t xml:space="preserve">NARA </w:t>
      </w:r>
      <w:r w:rsidR="6AEC298D" w:rsidRPr="48D5E1DA">
        <w:rPr>
          <w:sz w:val="24"/>
          <w:szCs w:val="24"/>
        </w:rPr>
        <w:t>risk</w:t>
      </w:r>
      <w:r w:rsidR="00621299">
        <w:rPr>
          <w:sz w:val="24"/>
          <w:szCs w:val="24"/>
        </w:rPr>
        <w:t xml:space="preserve"> level for the entire group</w:t>
      </w:r>
      <w:r w:rsidR="6AEC298D" w:rsidRPr="48D5E1DA">
        <w:rPr>
          <w:sz w:val="24"/>
          <w:szCs w:val="24"/>
        </w:rPr>
        <w:t>.</w:t>
      </w:r>
    </w:p>
    <w:p w14:paraId="788F2FB0" w14:textId="6B3B9EFB"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4EFE5D" w14:textId="34878C82" w:rsidR="00621299" w:rsidRDefault="00621299" w:rsidP="3CAD1133">
      <w:pPr>
        <w:rPr>
          <w:noProof/>
        </w:rPr>
      </w:pPr>
      <w:r>
        <w:rPr>
          <w:noProof/>
        </w:rPr>
        <w:t>The formats that do not have a NARA risk level are Comma-Separated Values (CSV) with no PUID, Office Open XML Document, and Office Open XML Workbook. Not matching NARA does not necessarily mean they are high risk, but simply that no files in that format have been donated to NARA.</w:t>
      </w:r>
    </w:p>
    <w:p w14:paraId="22374C7A" w14:textId="77777777" w:rsidR="009840AF" w:rsidRPr="00AA647C" w:rsidRDefault="009840AF" w:rsidP="00AA647C">
      <w:pPr>
        <w:spacing w:after="0"/>
        <w:rPr>
          <w:b/>
          <w:bCs/>
          <w:szCs w:val="24"/>
        </w:rPr>
      </w:pPr>
    </w:p>
    <w:p w14:paraId="1F38A34B" w14:textId="2E8E3FEE"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BC4C158" w14:textId="77777777" w:rsidR="00621299" w:rsidRDefault="5EADBC6B" w:rsidP="00C60C11">
      <w:pPr>
        <w:rPr>
          <w:sz w:val="24"/>
          <w:szCs w:val="24"/>
        </w:rPr>
      </w:pPr>
      <w:r w:rsidRPr="48D5E1DA">
        <w:rPr>
          <w:sz w:val="24"/>
          <w:szCs w:val="24"/>
        </w:rPr>
        <w:t xml:space="preserve">The </w:t>
      </w:r>
      <w:r w:rsidR="00621299">
        <w:rPr>
          <w:sz w:val="24"/>
          <w:szCs w:val="24"/>
        </w:rPr>
        <w:t>percentage</w:t>
      </w:r>
      <w:r w:rsidR="009C632B">
        <w:rPr>
          <w:sz w:val="24"/>
          <w:szCs w:val="24"/>
        </w:rPr>
        <w:t xml:space="preserve"> </w:t>
      </w:r>
      <w:r w:rsidR="16E17DB5" w:rsidRPr="48D5E1DA">
        <w:rPr>
          <w:sz w:val="24"/>
          <w:szCs w:val="24"/>
        </w:rPr>
        <w:t xml:space="preserve">of formats at each </w:t>
      </w:r>
      <w:r w:rsidR="009D5DB5">
        <w:rPr>
          <w:sz w:val="24"/>
          <w:szCs w:val="24"/>
        </w:rPr>
        <w:t xml:space="preserve">NARA </w:t>
      </w:r>
      <w:r w:rsidR="16E17DB5" w:rsidRPr="48D5E1DA">
        <w:rPr>
          <w:sz w:val="24"/>
          <w:szCs w:val="24"/>
        </w:rPr>
        <w:t xml:space="preserve">risk level from the </w:t>
      </w:r>
      <w:r w:rsidR="00621299">
        <w:rPr>
          <w:sz w:val="24"/>
          <w:szCs w:val="24"/>
        </w:rPr>
        <w:t>2019 and 2023 analyses</w:t>
      </w:r>
      <w:r w:rsidR="009C632B">
        <w:rPr>
          <w:sz w:val="24"/>
          <w:szCs w:val="24"/>
        </w:rPr>
        <w:t xml:space="preserve">. </w:t>
      </w:r>
    </w:p>
    <w:p w14:paraId="6C15EC51" w14:textId="77777777" w:rsidR="00621299" w:rsidRDefault="00621299" w:rsidP="00C60C11">
      <w:pPr>
        <w:rPr>
          <w:sz w:val="24"/>
          <w:szCs w:val="24"/>
        </w:rPr>
      </w:pPr>
      <w:r>
        <w:rPr>
          <w:noProof/>
        </w:rPr>
        <w:lastRenderedPageBreak/>
        <w:drawing>
          <wp:inline distT="0" distB="0" distL="0" distR="0" wp14:anchorId="51910B1D" wp14:editId="44642815">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31F3F7" w14:textId="2A316885" w:rsidR="14997EF0" w:rsidRDefault="00621299" w:rsidP="00C60C11">
      <w:pPr>
        <w:rPr>
          <w:sz w:val="24"/>
          <w:szCs w:val="24"/>
        </w:rPr>
      </w:pPr>
      <w:r>
        <w:rPr>
          <w:sz w:val="24"/>
          <w:szCs w:val="24"/>
        </w:rPr>
        <w:t>There is one</w:t>
      </w:r>
      <w:r w:rsidR="009C632B">
        <w:rPr>
          <w:sz w:val="24"/>
          <w:szCs w:val="24"/>
        </w:rPr>
        <w:t xml:space="preserve"> </w:t>
      </w:r>
      <w:r>
        <w:rPr>
          <w:sz w:val="24"/>
          <w:szCs w:val="24"/>
        </w:rPr>
        <w:t xml:space="preserve">new </w:t>
      </w:r>
      <w:r w:rsidR="009C632B">
        <w:rPr>
          <w:sz w:val="24"/>
          <w:szCs w:val="24"/>
        </w:rPr>
        <w:t xml:space="preserve">format </w:t>
      </w:r>
      <w:r>
        <w:rPr>
          <w:sz w:val="24"/>
          <w:szCs w:val="24"/>
        </w:rPr>
        <w:t>since the 2019 analysis: Office Open XML Document 2007 onwards</w:t>
      </w:r>
      <w:r w:rsidR="009C632B">
        <w:rPr>
          <w:sz w:val="24"/>
          <w:szCs w:val="24"/>
        </w:rPr>
        <w:t>.</w:t>
      </w:r>
    </w:p>
    <w:p w14:paraId="362C6370" w14:textId="7F77812F" w:rsidR="001E742F" w:rsidRPr="00621299" w:rsidRDefault="00621299" w:rsidP="3CAD1133">
      <w:pPr>
        <w:rPr>
          <w:sz w:val="24"/>
          <w:szCs w:val="24"/>
        </w:rPr>
      </w:pPr>
      <w:r>
        <w:rPr>
          <w:sz w:val="24"/>
          <w:szCs w:val="24"/>
        </w:rPr>
        <w:t>M</w:t>
      </w:r>
      <w:r w:rsidRPr="00621299">
        <w:rPr>
          <w:sz w:val="24"/>
          <w:szCs w:val="24"/>
        </w:rPr>
        <w:t>acromedia Flash Data</w:t>
      </w:r>
      <w:r>
        <w:rPr>
          <w:sz w:val="24"/>
          <w:szCs w:val="24"/>
        </w:rPr>
        <w:t xml:space="preserve"> (</w:t>
      </w:r>
      <w:r w:rsidRPr="00621299">
        <w:rPr>
          <w:sz w:val="24"/>
          <w:szCs w:val="24"/>
        </w:rPr>
        <w:t>version</w:t>
      </w:r>
      <w:r>
        <w:rPr>
          <w:sz w:val="24"/>
          <w:szCs w:val="24"/>
        </w:rPr>
        <w:t>s</w:t>
      </w:r>
      <w:r w:rsidRPr="00621299">
        <w:rPr>
          <w:sz w:val="24"/>
          <w:szCs w:val="24"/>
        </w:rPr>
        <w:t xml:space="preserve"> 5-7</w:t>
      </w:r>
      <w:r>
        <w:rPr>
          <w:sz w:val="24"/>
          <w:szCs w:val="24"/>
        </w:rPr>
        <w:t>) and PDF/A version 1a increased to moderate risk.</w:t>
      </w:r>
    </w:p>
    <w:p w14:paraId="77936C78" w14:textId="77777777" w:rsidR="009840AF" w:rsidRPr="00AA647C" w:rsidRDefault="009840AF" w:rsidP="00AA647C">
      <w:pPr>
        <w:spacing w:after="0"/>
        <w:rPr>
          <w:b/>
          <w:bCs/>
          <w:szCs w:val="24"/>
        </w:rPr>
      </w:pPr>
    </w:p>
    <w:p w14:paraId="6CD56116" w14:textId="3E7DB4F2" w:rsidR="27C1ED14" w:rsidRDefault="5CA8BAD3" w:rsidP="3CAD1133">
      <w:pPr>
        <w:rPr>
          <w:b/>
          <w:bCs/>
          <w:sz w:val="24"/>
          <w:szCs w:val="24"/>
        </w:rPr>
      </w:pPr>
      <w:r w:rsidRPr="48D5E1DA">
        <w:rPr>
          <w:b/>
          <w:bCs/>
          <w:sz w:val="24"/>
          <w:szCs w:val="24"/>
        </w:rPr>
        <w:t>Risk By Collection</w:t>
      </w:r>
    </w:p>
    <w:p w14:paraId="01412EC7" w14:textId="01A7A7AB" w:rsidR="3B9CE191" w:rsidRDefault="003E7CE3" w:rsidP="48D5E1DA">
      <w:pPr>
        <w:rPr>
          <w:b/>
          <w:bCs/>
          <w:sz w:val="24"/>
          <w:szCs w:val="24"/>
        </w:rPr>
      </w:pPr>
      <w:r>
        <w:rPr>
          <w:rStyle w:val="normaltextrun"/>
          <w:rFonts w:ascii="Calibri" w:hAnsi="Calibri" w:cs="Calibri"/>
          <w:color w:val="000000"/>
          <w:shd w:val="clear" w:color="auto" w:fill="FFFFFF"/>
        </w:rPr>
        <w:t xml:space="preserve">The percentage of formats at each </w:t>
      </w:r>
      <w:r w:rsidR="009D5DB5">
        <w:rPr>
          <w:rStyle w:val="normaltextrun"/>
          <w:rFonts w:ascii="Calibri" w:hAnsi="Calibri" w:cs="Calibri"/>
          <w:color w:val="000000"/>
          <w:shd w:val="clear" w:color="auto" w:fill="FFFFFF"/>
        </w:rPr>
        <w:t xml:space="preserve">NARA </w:t>
      </w:r>
      <w:r>
        <w:rPr>
          <w:rStyle w:val="normaltextrun"/>
          <w:rFonts w:ascii="Calibri" w:hAnsi="Calibri" w:cs="Calibri"/>
          <w:color w:val="000000"/>
          <w:shd w:val="clear" w:color="auto" w:fill="FFFFFF"/>
        </w:rPr>
        <w:t>risk level in each collection. The goal is to visualize how many collections have a high percentage of risk vs. low percentage of risk. The risk report spreadsheet (“Collection_Risk_Levels”) has the risk data for individual collections.</w:t>
      </w:r>
      <w:r>
        <w:rPr>
          <w:rStyle w:val="eop"/>
          <w:rFonts w:ascii="Calibri" w:hAnsi="Calibri" w:cs="Calibri"/>
          <w:color w:val="000000"/>
          <w:shd w:val="clear" w:color="auto" w:fill="FFFFFF"/>
        </w:rPr>
        <w:t> </w:t>
      </w:r>
    </w:p>
    <w:p w14:paraId="781DAB88" w14:textId="4E405DFB" w:rsidR="658E5275" w:rsidRDefault="00870AAE" w:rsidP="3CAD1133">
      <w:r>
        <w:rPr>
          <w:noProof/>
        </w:rPr>
        <w:drawing>
          <wp:inline distT="0" distB="0" distL="0" distR="0" wp14:anchorId="16624233" wp14:editId="7187ED56">
            <wp:extent cx="4305300" cy="2413000"/>
            <wp:effectExtent l="0" t="0" r="0" b="635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00AA647C">
      <w:pPr>
        <w:spacing w:after="0"/>
      </w:pPr>
    </w:p>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28C6409D" w14:textId="77777777" w:rsidR="00621299" w:rsidRDefault="5109D896" w:rsidP="14997EF0">
      <w:pPr>
        <w:rPr>
          <w:rStyle w:val="eop"/>
          <w:rFonts w:ascii="Calibri" w:hAnsi="Calibri" w:cs="Calibri"/>
          <w:color w:val="000000"/>
          <w:shd w:val="clear" w:color="auto" w:fill="FFFFFF"/>
        </w:rPr>
      </w:pPr>
      <w:r>
        <w:t xml:space="preserve">The purpose of this analysis is to visualize the complexity of AIPs in terms of the number of formats. </w:t>
      </w:r>
      <w:r w:rsidR="00621299">
        <w:rPr>
          <w:rStyle w:val="normaltextrun"/>
          <w:rFonts w:ascii="Calibri" w:hAnsi="Calibri" w:cs="Calibri"/>
          <w:color w:val="000000"/>
          <w:shd w:val="clear" w:color="auto" w:fill="FFFFFF"/>
        </w:rPr>
        <w:t>Having more complex AIPs could make preservation actions like format migration more difficult, and you may wish to narrow the boundaries of future AIPs. Having more formats than you expect in AIPs may also mean that your format identification tool listed multiple possib</w:t>
      </w:r>
      <w:bookmarkStart w:id="0" w:name="_GoBack"/>
      <w:bookmarkEnd w:id="0"/>
      <w:r w:rsidR="00621299">
        <w:rPr>
          <w:rStyle w:val="normaltextrun"/>
          <w:rFonts w:ascii="Calibri" w:hAnsi="Calibri" w:cs="Calibri"/>
          <w:color w:val="000000"/>
          <w:shd w:val="clear" w:color="auto" w:fill="FFFFFF"/>
        </w:rPr>
        <w:t>le formats for the same file and needs to be adjusted. </w:t>
      </w:r>
      <w:r w:rsidR="00621299">
        <w:rPr>
          <w:rStyle w:val="eop"/>
          <w:rFonts w:ascii="Calibri" w:hAnsi="Calibri" w:cs="Calibri"/>
          <w:color w:val="000000"/>
          <w:shd w:val="clear" w:color="auto" w:fill="FFFFFF"/>
        </w:rPr>
        <w:t> </w:t>
      </w:r>
    </w:p>
    <w:p w14:paraId="21B155C2" w14:textId="00F09665"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lastRenderedPageBreak/>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17572" w14:textId="77777777" w:rsidR="00851B73" w:rsidRDefault="00851B73" w:rsidP="00C60C11">
      <w:pPr>
        <w:spacing w:after="0" w:line="240" w:lineRule="auto"/>
      </w:pPr>
      <w:r>
        <w:separator/>
      </w:r>
    </w:p>
  </w:endnote>
  <w:endnote w:type="continuationSeparator" w:id="0">
    <w:p w14:paraId="41C84BC2" w14:textId="77777777" w:rsidR="00851B73" w:rsidRDefault="00851B73"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E5F5" w14:textId="77777777" w:rsidR="00851B73" w:rsidRDefault="00851B73" w:rsidP="00C60C11">
      <w:pPr>
        <w:spacing w:after="0" w:line="240" w:lineRule="auto"/>
      </w:pPr>
      <w:r>
        <w:separator/>
      </w:r>
    </w:p>
  </w:footnote>
  <w:footnote w:type="continuationSeparator" w:id="0">
    <w:p w14:paraId="7669AB66" w14:textId="77777777" w:rsidR="00851B73" w:rsidRDefault="00851B73"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8C0"/>
    <w:multiLevelType w:val="hybridMultilevel"/>
    <w:tmpl w:val="41DC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12FBE"/>
    <w:rsid w:val="000F0DD4"/>
    <w:rsid w:val="00143D74"/>
    <w:rsid w:val="001E742F"/>
    <w:rsid w:val="002413BB"/>
    <w:rsid w:val="003C5A76"/>
    <w:rsid w:val="003E61B6"/>
    <w:rsid w:val="003E7CE3"/>
    <w:rsid w:val="00432F13"/>
    <w:rsid w:val="004E0B3C"/>
    <w:rsid w:val="005126C2"/>
    <w:rsid w:val="00553B9E"/>
    <w:rsid w:val="005D3E32"/>
    <w:rsid w:val="00621299"/>
    <w:rsid w:val="00814305"/>
    <w:rsid w:val="00851B73"/>
    <w:rsid w:val="008542F6"/>
    <w:rsid w:val="00870AAE"/>
    <w:rsid w:val="008F63EC"/>
    <w:rsid w:val="009840AF"/>
    <w:rsid w:val="009C632B"/>
    <w:rsid w:val="009D49E3"/>
    <w:rsid w:val="009D5DB5"/>
    <w:rsid w:val="00AA647C"/>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 w:type="character" w:customStyle="1" w:styleId="normaltextrun">
    <w:name w:val="normaltextrun"/>
    <w:basedOn w:val="DefaultParagraphFont"/>
    <w:rsid w:val="003E7CE3"/>
  </w:style>
  <w:style w:type="character" w:customStyle="1" w:styleId="eop">
    <w:name w:val="eop"/>
    <w:basedOn w:val="DefaultParagraphFont"/>
    <w:rsid w:val="003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BB9-4606-8064-2B060862B57F}"/>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BB9-4606-8064-2B060862B57F}"/>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E4F74-CFD7-4FC1-8DE6-D114B8489FE1}">
  <ds:schemaRefs>
    <ds:schemaRef ds:uri="http://purl.org/dc/elements/1.1/"/>
    <ds:schemaRef ds:uri="8f1c6547-d36c-48f8-bf92-a1b1f6a20f48"/>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 ds:uri="http://schemas.microsoft.com/office/2006/documentManagement/types"/>
    <ds:schemaRef ds:uri="http://purl.org/dc/dcmitype/"/>
    <ds:schemaRef ds:uri="28e07cf1-9fbb-43f0-95a4-85f8ea525f4f"/>
    <ds:schemaRef ds:uri="http://www.w3.org/XML/1998/namespace"/>
    <ds:schemaRef ds:uri="http://purl.org/dc/terms/"/>
  </ds:schemaRefs>
</ds:datastoreItem>
</file>

<file path=customXml/itemProps2.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15</cp:revision>
  <dcterms:created xsi:type="dcterms:W3CDTF">2023-09-13T18:30:00Z</dcterms:created>
  <dcterms:modified xsi:type="dcterms:W3CDTF">2023-12-07T20:39:00Z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