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Arial Unicode MS"/>
          <w:lang w:val="en-US" w:eastAsia="zh-CN"/>
        </w:rPr>
        <w:t>Level 2</w:t>
        <w:br/>
        <w:t>Twenty person macro machine</w:t>
      </w:r>
    </w:p>
    <w:p>
      <w:pPr>
        <w:spacing w:after="240"/>
      </w:pPr>
      <w:r>
        <w:rPr>
          <w:rFonts w:eastAsia="Arial Unicode MS"/>
          <w:color w:val="595959"/>
          <w:sz w:val="26"/>
          <w:lang w:val="en-US" w:eastAsia="zh-CN"/>
        </w:rPr>
        <w:t>Distributed symbolic machine with registers and lookup tables</w:t>
      </w:r>
    </w:p>
    <w:p>
      <w:pPr>
        <w:pStyle w:val="Heading1"/>
      </w:pPr>
      <w:r>
        <w:rPr>
          <w:rFonts w:eastAsia="Arial Unicode MS"/>
          <w:lang w:val="en-US" w:eastAsia="zh-CN"/>
        </w:rPr>
        <w:t>Main question</w:t>
      </w:r>
    </w:p>
    <w:p>
      <w:r>
        <w:rPr>
          <w:rFonts w:eastAsia="Arial Unicode MS"/>
          <w:b/>
          <w:lang w:val="en-US" w:eastAsia="zh-CN"/>
        </w:rPr>
        <w:t>At which point, if any, would you attribute some understanding of Chinese to the system?</w:t>
      </w:r>
    </w:p>
    <w:p>
      <w:pPr>
        <w:pStyle w:val="Heading1"/>
      </w:pPr>
      <w:r>
        <w:rPr>
          <w:rFonts w:eastAsia="Arial Unicode MS"/>
          <w:lang w:val="en-US" w:eastAsia="zh-CN"/>
        </w:rPr>
        <w:t>What this level is</w:t>
      </w:r>
    </w:p>
    <w:p>
      <w:r>
        <w:rPr>
          <w:rFonts w:eastAsia="Arial Unicode MS"/>
          <w:lang w:val="en-US" w:eastAsia="zh-CN"/>
        </w:rPr>
        <w:t>Twenty participants parse structured Chinese questions, store six roles, consult a distributed event record, and construct yes or no and who answers.</w:t>
      </w:r>
    </w:p>
    <w:p>
      <w:pPr>
        <w:pStyle w:val="Heading1"/>
      </w:pPr>
      <w:r>
        <w:rPr>
          <w:rFonts w:eastAsia="Arial Unicode MS"/>
          <w:lang w:val="en-US" w:eastAsia="zh-CN"/>
        </w:rPr>
        <w:t>What this level adds</w:t>
      </w:r>
    </w:p>
    <w:p>
      <w:r>
        <w:rPr>
          <w:rFonts w:eastAsia="Arial Unicode MS"/>
          <w:lang w:val="en-US" w:eastAsia="zh-CN"/>
        </w:rPr>
        <w:t>The baseline gains more states, explicit memory, private tables, multiple syntactic modes, more vocabulary, and output assembled from copied input roles.</w:t>
      </w:r>
    </w:p>
    <w:p>
      <w:pPr>
        <w:pStyle w:val="Heading1"/>
      </w:pPr>
      <w:r>
        <w:rPr>
          <w:rFonts w:eastAsia="Arial Unicode MS"/>
          <w:lang w:val="en-US" w:eastAsia="zh-CN"/>
        </w:rPr>
        <w:t>How it works</w:t>
      </w:r>
    </w:p>
    <w:p>
      <w:r>
        <w:rPr>
          <w:rFonts w:eastAsia="Arial Unicode MS"/>
          <w:lang w:val="en-US" w:eastAsia="zh-CN"/>
        </w:rPr>
        <w:t>States Q0 through Q11 parse the input into time, actor, color, object, action, and recipient registers. Q12 routes to one of three private event tables. Q16 selects success or failure, and Q17 through Q19 write the answer or a format error.</w:t>
      </w:r>
    </w:p>
    <w:p>
      <w:pPr>
        <w:pStyle w:val="Heading1"/>
      </w:pPr>
      <w:r>
        <w:rPr>
          <w:rFonts w:eastAsia="Arial Unicode MS"/>
          <w:lang w:val="en-US" w:eastAsia="zh-CN"/>
        </w:rPr>
        <w:t>Example interaction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84"/>
        <w:gridCol w:w="8064"/>
      </w:tblGrid>
      <w:tr>
        <w:tc>
          <w:tcPr>
            <w:tcW w:type="dxa" w:w="1584"/>
            <w:vAlign w:val="center"/>
            <w:tcMar>
              <w:top w:w="120" w:type="dxa"/>
              <w:start w:w="140" w:type="dxa"/>
              <w:bottom w:w="120" w:type="dxa"/>
              <w:end w:w="140" w:type="dxa"/>
            </w:tcMar>
            <w:shd w:fill="17365D"/>
          </w:tcPr>
          <w:p>
            <w:r>
              <w:rPr>
                <w:rFonts w:eastAsia="Arial Unicode MS"/>
                <w:b/>
                <w:color w:val="FFFFFF"/>
                <w:lang w:val="en-US" w:eastAsia="zh-CN"/>
              </w:rPr>
              <w:t>Input</w:t>
            </w:r>
          </w:p>
        </w:tc>
        <w:tc>
          <w:tcPr>
            <w:tcW w:type="dxa" w:w="8064"/>
            <w:vAlign w:val="center"/>
            <w:tcMar>
              <w:top w:w="120" w:type="dxa"/>
              <w:start w:w="140" w:type="dxa"/>
              <w:bottom w:w="120" w:type="dxa"/>
              <w:end w:w="140" w:type="dxa"/>
            </w:tcMar>
          </w:tcPr>
          <w:p>
            <w:r>
              <w:rPr>
                <w:rFonts w:eastAsia="Arial Unicode MS"/>
                <w:lang w:val="en-US" w:eastAsia="zh-CN"/>
              </w:rPr>
              <w:drawing>
                <wp:inline xmlns:a="http://schemas.openxmlformats.org/drawingml/2006/main" xmlns:pic="http://schemas.openxmlformats.org/drawingml/2006/picture">
                  <wp:extent cx="2651760" cy="228600"/>
                  <wp:docPr id="1" name="Picture 1" descr="昨天，小林把蓝色的地图借给了阿明吗？"/>
                  <wp:cNvGraphicFramePr>
                    <a:graphicFrameLocks noChangeAspect="1"/>
                  </wp:cNvGraphicFramePr>
                  <a:graphic>
                    <a:graphicData uri="http://schemas.openxmlformats.org/drawingml/2006/picture">
                      <pic:pic>
                        <pic:nvPicPr>
                          <pic:cNvPr id="0" name="b729fdc4423203602dc8.png"/>
                          <pic:cNvPicPr/>
                        </pic:nvPicPr>
                        <pic:blipFill>
                          <a:blip r:embed="rId10"/>
                          <a:stretch>
                            <a:fillRect/>
                          </a:stretch>
                        </pic:blipFill>
                        <pic:spPr>
                          <a:xfrm>
                            <a:off x="0" y="0"/>
                            <a:ext cx="2651760" cy="228600"/>
                          </a:xfrm>
                          <a:prstGeom prst="rect"/>
                        </pic:spPr>
                      </pic:pic>
                    </a:graphicData>
                  </a:graphic>
                </wp:inline>
              </w:drawing>
            </w:r>
          </w:p>
        </w:tc>
      </w:tr>
      <w:tr>
        <w:tc>
          <w:tcPr>
            <w:tcW w:type="dxa" w:w="1584"/>
            <w:vAlign w:val="center"/>
            <w:tcMar>
              <w:top w:w="120" w:type="dxa"/>
              <w:start w:w="140" w:type="dxa"/>
              <w:bottom w:w="120" w:type="dxa"/>
              <w:end w:w="140" w:type="dxa"/>
            </w:tcMar>
            <w:shd w:fill="17365D"/>
          </w:tcPr>
          <w:p>
            <w:r>
              <w:rPr>
                <w:rFonts w:eastAsia="Arial Unicode MS"/>
                <w:b/>
                <w:color w:val="FFFFFF"/>
                <w:lang w:val="en-US" w:eastAsia="zh-CN"/>
              </w:rPr>
              <w:t>Output</w:t>
            </w:r>
          </w:p>
        </w:tc>
        <w:tc>
          <w:tcPr>
            <w:tcW w:type="dxa" w:w="8064"/>
            <w:vAlign w:val="center"/>
            <w:tcMar>
              <w:top w:w="120" w:type="dxa"/>
              <w:start w:w="140" w:type="dxa"/>
              <w:bottom w:w="120" w:type="dxa"/>
              <w:end w:w="140" w:type="dxa"/>
            </w:tcMar>
            <w:shd w:fill="EAF1F8"/>
          </w:tcPr>
          <w:p>
            <w:r>
              <w:rPr>
                <w:rFonts w:eastAsia="Arial Unicode MS"/>
                <w:lang w:val="en-US" w:eastAsia="zh-CN"/>
              </w:rPr>
              <w:drawing>
                <wp:inline xmlns:a="http://schemas.openxmlformats.org/drawingml/2006/main" xmlns:pic="http://schemas.openxmlformats.org/drawingml/2006/picture">
                  <wp:extent cx="2941320" cy="228600"/>
                  <wp:docPr id="2" name="Picture 2" descr="是的，昨天，小林把蓝色的地图借给了阿明。"/>
                  <wp:cNvGraphicFramePr>
                    <a:graphicFrameLocks noChangeAspect="1"/>
                  </wp:cNvGraphicFramePr>
                  <a:graphic>
                    <a:graphicData uri="http://schemas.openxmlformats.org/drawingml/2006/picture">
                      <pic:pic>
                        <pic:nvPicPr>
                          <pic:cNvPr id="0" name="0a1d43d73e5c6603da41.png"/>
                          <pic:cNvPicPr/>
                        </pic:nvPicPr>
                        <pic:blipFill>
                          <a:blip r:embed="rId11"/>
                          <a:stretch>
                            <a:fillRect/>
                          </a:stretch>
                        </pic:blipFill>
                        <pic:spPr>
                          <a:xfrm>
                            <a:off x="0" y="0"/>
                            <a:ext cx="2941320" cy="228600"/>
                          </a:xfrm>
                          <a:prstGeom prst="rect"/>
                        </pic:spPr>
                      </pic:pic>
                    </a:graphicData>
                  </a:graphic>
                </wp:inline>
              </w:drawing>
            </w:r>
          </w:p>
        </w:tc>
      </w:tr>
      <w:tr>
        <w:tc>
          <w:tcPr>
            <w:tcW w:type="dxa" w:w="1584"/>
            <w:vAlign w:val="center"/>
            <w:tcMar>
              <w:top w:w="120" w:type="dxa"/>
              <w:start w:w="140" w:type="dxa"/>
              <w:bottom w:w="120" w:type="dxa"/>
              <w:end w:w="140" w:type="dxa"/>
            </w:tcMar>
            <w:shd w:fill="17365D"/>
          </w:tcPr>
          <w:p>
            <w:r>
              <w:rPr>
                <w:rFonts w:eastAsia="Arial Unicode MS"/>
                <w:b/>
                <w:color w:val="FFFFFF"/>
                <w:lang w:val="en-US" w:eastAsia="zh-CN"/>
              </w:rPr>
              <w:t>Status</w:t>
            </w:r>
          </w:p>
        </w:tc>
        <w:tc>
          <w:tcPr>
            <w:tcW w:type="dxa" w:w="8064"/>
            <w:vAlign w:val="center"/>
            <w:tcMar>
              <w:top w:w="120" w:type="dxa"/>
              <w:start w:w="140" w:type="dxa"/>
              <w:bottom w:w="120" w:type="dxa"/>
              <w:end w:w="140" w:type="dxa"/>
            </w:tcMar>
          </w:tcPr>
          <w:p>
            <w:r>
              <w:rPr>
                <w:rFonts w:eastAsia="Arial Unicode MS"/>
                <w:lang w:val="en-US" w:eastAsia="zh-CN"/>
              </w:rPr>
              <w:t>Deterministic answer encoded by the supplied event table.</w:t>
            </w:r>
          </w:p>
        </w:tc>
      </w:tr>
    </w:tbl>
    <w:p>
      <w:pPr>
        <w:pStyle w:val="Heading1"/>
      </w:pPr>
      <w:r>
        <w:rPr>
          <w:rFonts w:eastAsia="Arial Unicode MS"/>
          <w:lang w:val="en-US" w:eastAsia="zh-CN"/>
        </w:rPr>
        <w:t>What it still cannot show</w:t>
      </w:r>
    </w:p>
    <w:p>
      <w:pPr>
        <w:pStyle w:val="ListBullet"/>
        <w:spacing w:after="80"/>
      </w:pPr>
      <w:r>
        <w:rPr>
          <w:rFonts w:eastAsia="Arial Unicode MS"/>
          <w:lang w:val="en-US" w:eastAsia="zh-CN"/>
        </w:rPr>
        <w:t>Word boundaries, grammatical slots, and the event schema are supplied in advance.</w:t>
      </w:r>
    </w:p>
    <w:p>
      <w:pPr>
        <w:pStyle w:val="ListBullet"/>
        <w:spacing w:after="80"/>
      </w:pPr>
      <w:r>
        <w:rPr>
          <w:rFonts w:eastAsia="Arial Unicode MS"/>
          <w:lang w:val="en-US" w:eastAsia="zh-CN"/>
        </w:rPr>
        <w:t>The room cannot generalize beyond its finite vocabulary and templates.</w:t>
      </w:r>
    </w:p>
    <w:p>
      <w:pPr>
        <w:pStyle w:val="ListBullet"/>
        <w:spacing w:after="80"/>
      </w:pPr>
      <w:r>
        <w:rPr>
          <w:rFonts w:eastAsia="Arial Unicode MS"/>
          <w:lang w:val="en-US" w:eastAsia="zh-CN"/>
        </w:rPr>
        <w:t>A natural omission of the particle de is deliberately rejected by the formal grammar.</w:t>
      </w:r>
    </w:p>
    <w:p>
      <w:r>
        <w:rPr>
          <w:rFonts w:eastAsia="Arial Unicode MS"/>
          <w:lang w:val="en-US" w:eastAsia="zh-CN"/>
        </w:rPr>
        <w:br w:type="page"/>
      </w:r>
    </w:p>
    <w:p>
      <w:pPr>
        <w:pStyle w:val="Heading1"/>
      </w:pPr>
      <w:r>
        <w:rPr>
          <w:rFonts w:eastAsia="Arial Unicode MS"/>
          <w:lang w:val="en-US" w:eastAsia="zh-CN"/>
        </w:rPr>
        <w:t>Interact with this level</w:t>
      </w:r>
    </w:p>
    <w:p>
      <w:pPr>
        <w:pStyle w:val="ListNumber"/>
        <w:spacing w:after="80"/>
      </w:pPr>
      <w:r>
        <w:rPr>
          <w:rFonts w:eastAsia="Arial Unicode MS"/>
          <w:lang w:val="en-US" w:eastAsia="zh-CN"/>
        </w:rPr>
        <w:t>Open twenty_person_activity.docx and read the facilitator overview.</w:t>
      </w:r>
    </w:p>
    <w:p>
      <w:pPr>
        <w:pStyle w:val="ListNumber"/>
        <w:spacing w:after="80"/>
      </w:pPr>
      <w:r>
        <w:rPr>
          <w:rFonts w:eastAsia="Arial Unicode MS"/>
          <w:lang w:val="en-US" w:eastAsia="zh-CN"/>
        </w:rPr>
        <w:t>Give one private state card to each of twenty participants and keep the answer key hidden.</w:t>
      </w:r>
    </w:p>
    <w:p>
      <w:pPr>
        <w:pStyle w:val="ListNumber"/>
        <w:spacing w:after="80"/>
      </w:pPr>
      <w:r>
        <w:rPr>
          <w:rFonts w:eastAsia="Arial Unicode MS"/>
          <w:lang w:val="en-US" w:eastAsia="zh-CN"/>
        </w:rPr>
        <w:t>Prepare a fresh machine packet and one supplied input strip for each run.</w:t>
      </w:r>
    </w:p>
    <w:p>
      <w:pPr>
        <w:pStyle w:val="ListNumber"/>
        <w:spacing w:after="80"/>
      </w:pPr>
      <w:r>
        <w:rPr>
          <w:rFonts w:eastAsia="Arial Unicode MS"/>
          <w:lang w:val="en-US" w:eastAsia="zh-CN"/>
        </w:rPr>
        <w:t>Follow the route log without conversational repair or semantic hints.</w:t>
      </w:r>
    </w:p>
    <w:p>
      <w:pPr>
        <w:pStyle w:val="Heading1"/>
      </w:pPr>
      <w:r>
        <w:rPr>
          <w:rFonts w:eastAsia="Arial Unicode MS"/>
          <w:lang w:val="en-US" w:eastAsia="zh-CN"/>
        </w:rPr>
        <w:t>Suggested inputs</w:t>
      </w:r>
    </w:p>
    <w:p>
      <w:pPr>
        <w:pStyle w:val="ListBullet"/>
        <w:spacing w:after="80"/>
      </w:pPr>
      <w:r>
        <w:rPr>
          <w:rFonts w:eastAsia="Arial Unicode MS"/>
          <w:lang w:val="en-US" w:eastAsia="zh-CN"/>
        </w:rPr>
        <w:drawing>
          <wp:inline xmlns:a="http://schemas.openxmlformats.org/drawingml/2006/main" xmlns:pic="http://schemas.openxmlformats.org/drawingml/2006/picture">
            <wp:extent cx="2651760" cy="228600"/>
            <wp:docPr id="3" name="Picture 3" descr="昨天，小林把蓝色的地图借给了阿明吗？"/>
            <wp:cNvGraphicFramePr>
              <a:graphicFrameLocks noChangeAspect="1"/>
            </wp:cNvGraphicFramePr>
            <a:graphic>
              <a:graphicData uri="http://schemas.openxmlformats.org/drawingml/2006/picture">
                <pic:pic>
                  <pic:nvPicPr>
                    <pic:cNvPr id="0" name="b729fdc4423203602dc8.png"/>
                    <pic:cNvPicPr/>
                  </pic:nvPicPr>
                  <pic:blipFill>
                    <a:blip r:embed="rId10"/>
                    <a:stretch>
                      <a:fillRect/>
                    </a:stretch>
                  </pic:blipFill>
                  <pic:spPr>
                    <a:xfrm>
                      <a:off x="0" y="0"/>
                      <a:ext cx="2651760" cy="228600"/>
                    </a:xfrm>
                    <a:prstGeom prst="rect"/>
                  </pic:spPr>
                </pic:pic>
              </a:graphicData>
            </a:graphic>
          </wp:inline>
        </w:drawing>
      </w:r>
    </w:p>
    <w:p>
      <w:pPr>
        <w:pStyle w:val="ListBullet"/>
        <w:spacing w:after="80"/>
      </w:pPr>
      <w:r>
        <w:rPr>
          <w:rFonts w:eastAsia="Arial Unicode MS"/>
          <w:lang w:val="en-US" w:eastAsia="zh-CN"/>
        </w:rPr>
        <w:drawing>
          <wp:inline xmlns:a="http://schemas.openxmlformats.org/drawingml/2006/main" xmlns:pic="http://schemas.openxmlformats.org/drawingml/2006/picture">
            <wp:extent cx="2362200" cy="228600"/>
            <wp:docPr id="4" name="Picture 4" descr="上周，谁把绿色的地图还给了小林？"/>
            <wp:cNvGraphicFramePr>
              <a:graphicFrameLocks noChangeAspect="1"/>
            </wp:cNvGraphicFramePr>
            <a:graphic>
              <a:graphicData uri="http://schemas.openxmlformats.org/drawingml/2006/picture">
                <pic:pic>
                  <pic:nvPicPr>
                    <pic:cNvPr id="0" name="1b0f5be03ff42c7dce92.png"/>
                    <pic:cNvPicPr/>
                  </pic:nvPicPr>
                  <pic:blipFill>
                    <a:blip r:embed="rId12"/>
                    <a:stretch>
                      <a:fillRect/>
                    </a:stretch>
                  </pic:blipFill>
                  <pic:spPr>
                    <a:xfrm>
                      <a:off x="0" y="0"/>
                      <a:ext cx="2362200" cy="228600"/>
                    </a:xfrm>
                    <a:prstGeom prst="rect"/>
                  </pic:spPr>
                </pic:pic>
              </a:graphicData>
            </a:graphic>
          </wp:inline>
        </w:drawing>
      </w:r>
    </w:p>
    <w:p>
      <w:pPr>
        <w:pStyle w:val="ListBullet"/>
        <w:spacing w:after="80"/>
      </w:pPr>
      <w:r>
        <w:rPr>
          <w:rFonts w:eastAsia="Arial Unicode MS"/>
          <w:lang w:val="en-US" w:eastAsia="zh-CN"/>
        </w:rPr>
        <w:drawing>
          <wp:inline xmlns:a="http://schemas.openxmlformats.org/drawingml/2006/main" xmlns:pic="http://schemas.openxmlformats.org/drawingml/2006/picture">
            <wp:extent cx="2362200" cy="228600"/>
            <wp:docPr id="5" name="Picture 5" descr="今天，小王把黄色的地图送给了谁？"/>
            <wp:cNvGraphicFramePr>
              <a:graphicFrameLocks noChangeAspect="1"/>
            </wp:cNvGraphicFramePr>
            <a:graphic>
              <a:graphicData uri="http://schemas.openxmlformats.org/drawingml/2006/picture">
                <pic:pic>
                  <pic:nvPicPr>
                    <pic:cNvPr id="0" name="f02477a7eb9e195d0368.png"/>
                    <pic:cNvPicPr/>
                  </pic:nvPicPr>
                  <pic:blipFill>
                    <a:blip r:embed="rId13"/>
                    <a:stretch>
                      <a:fillRect/>
                    </a:stretch>
                  </pic:blipFill>
                  <pic:spPr>
                    <a:xfrm>
                      <a:off x="0" y="0"/>
                      <a:ext cx="2362200" cy="228600"/>
                    </a:xfrm>
                    <a:prstGeom prst="rect"/>
                  </pic:spPr>
                </pic:pic>
              </a:graphicData>
            </a:graphic>
          </wp:inline>
        </w:drawing>
      </w:r>
    </w:p>
    <w:p>
      <w:pPr>
        <w:pStyle w:val="ListBullet"/>
        <w:spacing w:after="80"/>
      </w:pPr>
      <w:r>
        <w:rPr>
          <w:rFonts w:eastAsia="Arial Unicode MS"/>
          <w:lang w:val="en-US" w:eastAsia="zh-CN"/>
        </w:rPr>
        <w:drawing>
          <wp:inline xmlns:a="http://schemas.openxmlformats.org/drawingml/2006/main" xmlns:pic="http://schemas.openxmlformats.org/drawingml/2006/picture">
            <wp:extent cx="2506980" cy="228600"/>
            <wp:docPr id="6" name="Picture 6" descr="昨天，小林把蓝色地图借给了阿明吗？"/>
            <wp:cNvGraphicFramePr>
              <a:graphicFrameLocks noChangeAspect="1"/>
            </wp:cNvGraphicFramePr>
            <a:graphic>
              <a:graphicData uri="http://schemas.openxmlformats.org/drawingml/2006/picture">
                <pic:pic>
                  <pic:nvPicPr>
                    <pic:cNvPr id="0" name="e69fe385f59a97c0a1fe.png"/>
                    <pic:cNvPicPr/>
                  </pic:nvPicPr>
                  <pic:blipFill>
                    <a:blip r:embed="rId14"/>
                    <a:stretch>
                      <a:fillRect/>
                    </a:stretch>
                  </pic:blipFill>
                  <pic:spPr>
                    <a:xfrm>
                      <a:off x="0" y="0"/>
                      <a:ext cx="2506980" cy="228600"/>
                    </a:xfrm>
                    <a:prstGeom prst="rect"/>
                  </pic:spPr>
                </pic:pic>
              </a:graphicData>
            </a:graphic>
          </wp:inline>
        </w:drawing>
      </w:r>
    </w:p>
    <w:p>
      <w:pPr>
        <w:pStyle w:val="Heading1"/>
      </w:pPr>
      <w:r>
        <w:rPr>
          <w:rFonts w:eastAsia="Arial Unicode MS"/>
          <w:lang w:val="en-US" w:eastAsia="zh-CN"/>
        </w:rPr>
        <w:t>Questions to notice</w:t>
      </w:r>
    </w:p>
    <w:p>
      <w:pPr>
        <w:pStyle w:val="ListBullet"/>
        <w:spacing w:after="80"/>
      </w:pPr>
      <w:r>
        <w:rPr>
          <w:rFonts w:eastAsia="Arial Unicode MS"/>
          <w:lang w:val="en-US" w:eastAsia="zh-CN"/>
        </w:rPr>
        <w:t>Does distributed memory change anything philosophically, or only practically?</w:t>
      </w:r>
    </w:p>
    <w:p>
      <w:pPr>
        <w:pStyle w:val="ListBullet"/>
        <w:spacing w:after="80"/>
      </w:pPr>
      <w:r>
        <w:rPr>
          <w:rFonts w:eastAsia="Arial Unicode MS"/>
          <w:lang w:val="en-US" w:eastAsia="zh-CN"/>
        </w:rPr>
        <w:t>Does the whole room know more than any operator?</w:t>
      </w:r>
    </w:p>
    <w:p>
      <w:pPr>
        <w:pStyle w:val="ListBullet"/>
        <w:spacing w:after="80"/>
      </w:pPr>
      <w:r>
        <w:rPr>
          <w:rFonts w:eastAsia="Arial Unicode MS"/>
          <w:lang w:val="en-US" w:eastAsia="zh-CN"/>
        </w:rPr>
        <w:t>How much competence belongs to the designer's choice of representation?</w:t>
      </w:r>
    </w:p>
    <w:p>
      <w:pPr>
        <w:pStyle w:val="Heading1"/>
      </w:pPr>
      <w:r>
        <w:rPr>
          <w:rFonts w:eastAsia="Arial Unicode MS"/>
          <w:lang w:val="en-US" w:eastAsia="zh-CN"/>
        </w:rPr>
        <w:t>Transition to the next level</w:t>
      </w:r>
    </w:p>
    <w:p>
      <w:r>
        <w:rPr>
          <w:rFonts w:eastAsia="Arial Unicode MS"/>
          <w:lang w:val="en-US" w:eastAsia="zh-CN"/>
        </w:rPr>
        <w:t>Level 3 implements a related symbolic system as ordinary software and adds an explicit paraphrase rule plus a two-transfer state calculation.</w:t>
      </w:r>
    </w:p>
    <w:p>
      <w:pPr>
        <w:pStyle w:val="Heading1"/>
      </w:pPr>
      <w:r>
        <w:rPr>
          <w:rFonts w:eastAsia="Arial Unicode MS"/>
          <w:lang w:val="en-US" w:eastAsia="zh-CN"/>
        </w:rPr>
        <w:t>Sources and links</w:t>
      </w:r>
    </w:p>
    <w:p>
      <w:pPr>
        <w:pStyle w:val="ListBullet"/>
      </w:pPr>
      <w:hyperlink r:id="rId15">
        <w:r>
          <w:rPr>
            <w:rFonts w:eastAsia="Arial Unicode MS"/>
            <w:color w:val="17365D"/>
            <w:u w:val="single"/>
            <w:lang w:val="en-US" w:eastAsia="zh-CN"/>
          </w:rPr>
          <w:t>Searle Chinese Room paper</w:t>
        </w:r>
      </w:hyperlink>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Chinese Understanding Ladder   Level 2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eastAsia="Arial Unicode M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eastAsia="Arial Unicode M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rintintin.colorado.edu/~vancecd/phil201/Sear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2 Twenty person macro machine</dc:title>
  <dc:subject>Chinese input output complexity ladder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