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11</w:t>
        <w:br/>
        <w:t>Qwen3 235B A22B Instruct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Server scale sparse mixture of experts language model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This model expands the sparse instruction-tuned paradigm to 235 billion total parameters and 22 billion active per token.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The organization remains recognizable while breadth, stored statistical structure, and task performance increase. The level exists to prevent frontier behavior from appearing as one unexplained jump.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A transformer routes tokens among many learned experts while maintaining shared attention and residual state. Only a fraction of the stored parameters participates in each token's forward pass.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426720"/>
                  <wp:docPr id="1" name="Picture 1" descr="构造一个你能想到的、反对塞尔的最强新思想实验，然后说明什么证据会使它失败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0fd6334749abc7ee6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624840"/>
                  <wp:docPr id="2" name="Picture 2" descr="可以设想逐步用功能等价的人工部件替换双语者的神经过程，同时保持对话和自我报告。如果有证据表明功能等价虽然保存了行为，却系统地移除了意义所需的因果能力，这个反例就会失败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7136b4d4f2ed302d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62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Illustrative answer form, not a saved run. It is included to show the intended test, not a benchmark claim.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Server-scale sophistication remains behavioral evidence under one experimental interface.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model may produce persuasive but unsupported philosophical arguments.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absence of a sharp architectural threshold leaves the attribution question unresolved.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the official model card and use an offered inference provider or another compatible hosted deployment.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Self-host only with appropriate server hardware and deployment expertise.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Use the same prompts as Level 10 before adding harder long-form synthesis or counterfactual tasks.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086100" cy="228600"/>
            <wp:docPr id="3" name="Picture 3" descr="创造一个新的中文房间变体，并分析争论双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ddb0e02558c6ef6b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072640" cy="228600"/>
            <wp:docPr id="4" name="Picture 4" descr="说明这个分析成立所需的假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a8871ed89b91f714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362200" cy="228600"/>
            <wp:docPr id="5" name="Picture 5" descr="反转其中一个假设，然后更新结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464a70b5513711b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362200" cy="228600"/>
            <wp:docPr id="6" name="Picture 6" descr="在十轮追问中保持一个一致的立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3c35ed9c76bf003a1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Did your rating rise smoothly or jump despite a mostly quantitative change?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a more coherent self-defense count as evidence, or is it only another output?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What would this model need besides text to satisfy your criterion?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12 adds native visual input, a one-million-token context, and tool-oriented agentic behavior while greatly scaling the sparse model.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6">
        <w:r>
          <w:rPr>
            <w:rFonts w:eastAsia="Arial Unicode MS"/>
            <w:color w:val="17365D"/>
            <w:u w:val="single"/>
            <w:lang w:val="en-US" w:eastAsia="zh-CN"/>
          </w:rPr>
          <w:t>Official model card</w:t>
        </w:r>
      </w:hyperlink>
    </w:p>
    <w:p>
      <w:pPr>
        <w:pStyle w:val="ListBullet"/>
      </w:pPr>
      <w:hyperlink r:id="rId17">
        <w:r>
          <w:rPr>
            <w:rFonts w:eastAsia="Arial Unicode MS"/>
            <w:color w:val="17365D"/>
            <w:u w:val="single"/>
            <w:lang w:val="en-US" w:eastAsia="zh-CN"/>
          </w:rPr>
          <w:t>Qwen3 repository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11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huggingface.co/Qwen/Qwen3-235B-A22B-Instruct-2507" TargetMode="External"/><Relationship Id="rId17" Type="http://schemas.openxmlformats.org/officeDocument/2006/relationships/hyperlink" Target="https://github.com/QwenLM/Qwe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11 Qwen3 235B A22B Instruct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