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10</w:t>
        <w:br/>
        <w:t>Qwen3 30B A3B Instruct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Sparse mixture of experts instruction model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A sparse transformer stores 30.5 billion parameters but activates about 3.3 billion per token. A router selects eight of 128 learned experts.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Specialization and routing become explicit parts of the neural architecture. Total learned capacity grows much faster than the computation used for a single token.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Attention layers share context across the sequence. In mixture-of-experts feed-forward layers, a learned router chooses a small subset of expert networks for each token and combines their outputs.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426720"/>
                  <wp:docPr id="1" name="Picture 1" descr="分析中文房间的系统回复、机器人回复和大脑模拟回复，并说明它们分别把理解归因于什么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d7576190a591cd041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42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624840"/>
                  <wp:docPr id="2" name="Picture 2" descr="系统回复把理解归因于房间内人员、规则和记忆构成的整体；机器人回复加入感知与行动，把符号与环境联系起来；大脑模拟回复认为，如果因果组织足够接近大脑，就不应仅因实现材料不同而否认理解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e8bc90f61d6ba82b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62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Illustrative answer form, not a saved run. Actual output depends on serving and sampling settings.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Expert labels do not correspond neatly to human concepts or jobs.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Routing explains efficient computation, not whether the routed whole understands.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Text-only interaction still leaves perceptual grounding largely indirect.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Open the official model card and select an offered hosted inference provider.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If suitable hardware is available, run python3 run_model.py --allow-large-download followed by a prompt.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Ask one multi-part prompt, then inspect whether the answer preserves every requested distinction.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375660" cy="228600"/>
            <wp:docPr id="3" name="Picture 3" descr="比较对塞尔的三种回复，但不要赞成其中任何一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43660324d009c696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506980" cy="228600"/>
            <wp:docPr id="4" name="Picture 4" descr="把这个比较改写成三位哲学家的对话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b2a5c18d0a4e134e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506980" cy="228600"/>
            <wp:docPr id="5" name="Picture 5" descr="找出这三种回复共同依赖的一个假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1c9e19af394bb87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941320" cy="228600"/>
            <wp:docPr id="6" name="Picture 6" descr="把最后的答案译成英文，并保留其中的区别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39367f3d64c3fd6f7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Does a routed population of experts resemble the distributed room more than a dense model does?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Could understanding belong to the routed whole when no expert sees the entire computation?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Is sparse activation philosophically relevant or merely an engineering detail?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Level 11 keeps the sparse design but scales it to 235 billion total and 22 billion active parameters, making the transition one of degree again.</w:t>
      </w:r>
    </w:p>
    <w:p>
      <w:pPr>
        <w:pStyle w:val="Heading1"/>
      </w:pPr>
      <w:r>
        <w:rPr>
          <w:rFonts w:eastAsia="Arial Unicode MS"/>
          <w:lang w:val="en-US" w:eastAsia="zh-CN"/>
        </w:rPr>
        <w:t>Sources and links</w:t>
      </w:r>
    </w:p>
    <w:p>
      <w:pPr>
        <w:pStyle w:val="ListBullet"/>
      </w:pPr>
      <w:hyperlink r:id="rId16">
        <w:r>
          <w:rPr>
            <w:rFonts w:eastAsia="Arial Unicode MS"/>
            <w:color w:val="17365D"/>
            <w:u w:val="single"/>
            <w:lang w:val="en-US" w:eastAsia="zh-CN"/>
          </w:rPr>
          <w:t>Official model card</w:t>
        </w:r>
      </w:hyperlink>
    </w:p>
    <w:p>
      <w:pPr>
        <w:pStyle w:val="ListBullet"/>
      </w:pPr>
      <w:hyperlink r:id="rId17">
        <w:r>
          <w:rPr>
            <w:rFonts w:eastAsia="Arial Unicode MS"/>
            <w:color w:val="17365D"/>
            <w:u w:val="single"/>
            <w:lang w:val="en-US" w:eastAsia="zh-CN"/>
          </w:rPr>
          <w:t>Qwen3 repository</w:t>
        </w:r>
      </w:hyperlink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10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huggingface.co/Qwen/Qwen3-30B-A3B-Instruct-2507" TargetMode="External"/><Relationship Id="rId17" Type="http://schemas.openxmlformats.org/officeDocument/2006/relationships/hyperlink" Target="https://github.com/QwenLM/Qwen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10 Qwen3 30B A3B Instruct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