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rPr>
          <w:b/>
        </w:rPr>
        <w:t xml:space="preserve">Mapping Test Co Tax Incentive Summary</w:t>
      </w:r>
    </w:p>
    <w:p>
      <w:r>
        <w:rPr>
          <w:b/>
        </w:rPr>
        <w:t xml:space="preserve">Company Sector and Industry Analysis</w:t>
      </w:r>
    </w:p>
    <w:p>
      <w:r>
        <w:t xml:space="preserve">Detected Sector: Healthcare</w:t>
      </w:r>
    </w:p>
    <w:p>
      <w:r>
        <w:t xml:space="preserve">Company Description: Mapping Test Co is being evaluated under the manually selected sector: Healthcare.</w:t>
      </w:r>
    </w:p>
    <w:p>
      <w:r>
        <w:t xml:space="preserve">Sector logic in this report is based on your manual industry input, not automatic website classification.</w:t>
      </w:r>
    </w:p>
    <w:p>
      <w:r>
        <w:rPr>
          <w:b/>
        </w:rPr>
        <w:t xml:space="preserve">GA Job Tax Credit</w:t>
      </w:r>
    </w:p>
    <w:p>
      <w:r>
        <w:t xml:space="preserve">The GA JTC offers a dollar-for-dollar reduction of state income tax liability when creating new jobs in certain areas. Counties are designated Tier 1 through Tier 4, with Military Zones, Less Developed Census Tracts (LDCT), and Opportunity Zones often supporting lower thresholds and larger benefits.</w:t>
      </w:r>
    </w:p>
    <w:p>
      <w:r>
        <w:t xml:space="preserve">Mapping Test Co Georgia locations with corresponding tier designations and estimated credit benefits are shown below. Final thresholds may be NAICS dependent and should be validated.</w:t>
      </w:r>
    </w:p>
    <w:tbl>
      <w:tr>
        <w:tc>
          <w:p>
            <w:r>
              <w:rPr>
                <w:b/>
              </w:rPr>
              <w:t>GA Location</w:t>
            </w:r>
          </w:p>
        </w:tc>
        <w:tc>
          <w:p>
            <w:r>
              <w:rPr>
                <w:b/>
              </w:rPr>
              <w:t>County</w:t>
            </w:r>
          </w:p>
        </w:tc>
        <w:tc>
          <w:p>
            <w:r>
              <w:rPr>
                <w:b/>
              </w:rPr>
              <w:t>County Tier</w:t>
            </w:r>
          </w:p>
        </w:tc>
        <w:tc>
          <w:p>
            <w:r>
              <w:rPr>
                <w:b/>
              </w:rPr>
              <w:t>Special Designation</w:t>
            </w:r>
          </w:p>
        </w:tc>
        <w:tc>
          <w:p>
            <w:r>
              <w:rPr>
                <w:b/>
              </w:rPr>
              <w:t>Job Creation Threshold</w:t>
            </w:r>
          </w:p>
        </w:tc>
        <w:tc>
          <w:p>
            <w:r>
              <w:rPr>
                <w:b/>
              </w:rPr>
              <w:t>Per Job Credit Amount</w:t>
            </w:r>
          </w:p>
        </w:tc>
      </w:tr>
      <w:tr>
        <w:tc>
          <w:p>
            <w:r>
              <w:t>303 Perimeter Center N, Atlanta, GA 30346</w:t>
            </w:r>
          </w:p>
        </w:tc>
        <w:tc>
          <w:p>
            <w:r>
              <w:t>-</w:t>
            </w:r>
          </w:p>
        </w:tc>
        <w:tc>
          <w:p>
            <w:r>
              <w:t>Unmapped</w:t>
            </w:r>
          </w:p>
        </w:tc>
        <w:tc>
          <w:p>
            <w:r>
              <w:t>None</w:t>
            </w:r>
          </w:p>
        </w:tc>
        <w:tc>
          <w:p>
            <w:r>
              <w:t>NAICS Dependent</w:t>
            </w:r>
          </w:p>
        </w:tc>
        <w:tc>
          <w:p>
            <w:r>
              <w:t>NAICS Dependent</w:t>
            </w:r>
          </w:p>
        </w:tc>
      </w:tr>
    </w:tbl>
    <w:p>
      <w:r>
        <w:rPr>
          <w:b/>
        </w:rPr>
        <w:t xml:space="preserve">Address Mapping Diagnostics</w:t>
      </w:r>
    </w:p>
    <w:tbl>
      <w:tr>
        <w:tc>
          <w:p>
            <w:r>
              <w:rPr>
                <w:b/>
              </w:rPr>
              <w:t>Address</w:t>
            </w:r>
          </w:p>
        </w:tc>
        <w:tc>
          <w:p>
            <w:r>
              <w:rPr>
                <w:b/>
              </w:rPr>
              <w:t>Geocode (Lat, Lon)</w:t>
            </w:r>
          </w:p>
        </w:tc>
        <w:tc>
          <w:p>
            <w:r>
              <w:rPr>
                <w:b/>
              </w:rPr>
              <w:t>County / Tier</w:t>
            </w:r>
          </w:p>
        </w:tc>
        <w:tc>
          <w:p>
            <w:r>
              <w:rPr>
                <w:b/>
              </w:rPr>
              <w:t>ArcGIS Layer Status</w:t>
            </w:r>
          </w:p>
        </w:tc>
        <w:tc>
          <w:p>
            <w:r>
              <w:rPr>
                <w:b/>
              </w:rPr>
              <w:t>Evidence</w:t>
            </w:r>
          </w:p>
        </w:tc>
      </w:tr>
      <w:tr>
        <w:tc>
          <w:p>
            <w:r>
              <w:t>303 Perimeter Center N, Atlanta, GA 30346</w:t>
            </w:r>
          </w:p>
        </w:tc>
        <w:tc>
          <w:p>
            <w:r>
              <w:t>Unavailable</w:t>
            </w:r>
          </w:p>
        </w:tc>
        <w:tc>
          <w:p>
            <w:r>
              <w:t>Unmapped / Unmapped</w:t>
            </w:r>
          </w:p>
        </w:tc>
        <w:tc>
          <w:p>
            <w:r>
              <w:t>[geocode: failed] Address could not be geocoded with OpenStreetMap Nominatim.</w:t>
            </w:r>
          </w:p>
        </w:tc>
        <w:tc>
          <w:p>
            <w:r>
              <w:t>Unable to geocode address automatically</w:t>
            </w:r>
          </w:p>
        </w:tc>
      </w:tr>
    </w:tbl>
    <w:p>
      <w:r>
        <w:rPr>
          <w:b/>
        </w:rPr>
        <w:t xml:space="preserve">Georgia Retraining Tax Credit</w:t>
      </w:r>
    </w:p>
    <w:p>
      <w:r>
        <w:t xml:space="preserve">The GA Retraining Tax Credit can provide up to 50% of eligible retraining costs, including wages of trainees, up to $1,250 per employee per year.</w:t>
      </w:r>
    </w:p>
    <w:p>
      <w:r>
        <w:t xml:space="preserve">Below are industry-specific software and equipment categories with applicable programs. If implemented and employees were retrained to use them, these categories may support GA RTC claims.</w:t>
      </w:r>
    </w:p>
    <w:tbl>
      <w:tr>
        <w:tc>
          <w:p>
            <w:r>
              <w:rPr>
                <w:b/>
              </w:rPr>
              <w:t>Type</w:t>
            </w:r>
          </w:p>
        </w:tc>
        <w:tc>
          <w:p>
            <w:r>
              <w:rPr>
                <w:b/>
              </w:rPr>
              <w:t>Category</w:t>
            </w:r>
          </w:p>
        </w:tc>
        <w:tc>
          <w:p>
            <w:r>
              <w:rPr>
                <w:b/>
              </w:rPr>
              <w:t>Applicable Programs / Systems</w:t>
            </w:r>
          </w:p>
        </w:tc>
      </w:tr>
      <w:tr>
        <w:tc>
          <w:p>
            <w:r>
              <w:t>Software</w:t>
            </w:r>
          </w:p>
        </w:tc>
        <w:tc>
          <w:p>
            <w:r>
              <w:t>Practice Management Software</w:t>
            </w:r>
          </w:p>
        </w:tc>
        <w:tc>
          <w:p>
            <w:r>
              <w:t>athenaOne, eClinicalWorks, AdvancedMD, NextGen Office</w:t>
            </w:r>
          </w:p>
        </w:tc>
      </w:tr>
      <w:tr>
        <w:tc>
          <w:p>
            <w:r>
              <w:t>Software</w:t>
            </w:r>
          </w:p>
        </w:tc>
        <w:tc>
          <w:p>
            <w:r>
              <w:t>CRM / Patient Engagement</w:t>
            </w:r>
          </w:p>
        </w:tc>
        <w:tc>
          <w:p>
            <w:r>
              <w:t>Salesforce Health Cloud, HubSpot, Luma Health, Solutionreach</w:t>
            </w:r>
          </w:p>
        </w:tc>
      </w:tr>
      <w:tr>
        <w:tc>
          <w:p>
            <w:r>
              <w:t>Software</w:t>
            </w:r>
          </w:p>
        </w:tc>
        <w:tc>
          <w:p>
            <w:r>
              <w:t>Document / Records Management</w:t>
            </w:r>
          </w:p>
        </w:tc>
        <w:tc>
          <w:p>
            <w:r>
              <w:t>Epic, Cerner, OnBase, M-Files</w:t>
            </w:r>
          </w:p>
        </w:tc>
      </w:tr>
      <w:tr>
        <w:tc>
          <w:p>
            <w:r>
              <w:t>Equipment</w:t>
            </w:r>
          </w:p>
        </w:tc>
        <w:tc>
          <w:p>
            <w:r>
              <w:t>Clinical &amp; Diagnostic Equipment</w:t>
            </w:r>
          </w:p>
        </w:tc>
        <w:tc>
          <w:p>
            <w:r>
              <w:t>Patient monitoring systems, Portable diagnostic devices, Imaging peripherals, Lab analyzers</w:t>
            </w:r>
          </w:p>
        </w:tc>
      </w:tr>
      <w:tr>
        <w:tc>
          <w:p>
            <w:r>
              <w:t>Equipment</w:t>
            </w:r>
          </w:p>
        </w:tc>
        <w:tc>
          <w:p>
            <w:r>
              <w:t>Mobile Care Technology</w:t>
            </w:r>
          </w:p>
        </w:tc>
        <w:tc>
          <w:p>
            <w:r>
              <w:t>Tablets for point-of-care, Telehealth carts, Vital-sign capture devices, Secure mobile workstations</w:t>
            </w:r>
          </w:p>
        </w:tc>
      </w:tr>
    </w:tbl>
    <w:p>
      <w:r>
        <w:rPr>
          <w:b/>
        </w:rPr>
        <w:t xml:space="preserve">Federal &amp; State Research and Development Credit</w:t>
      </w:r>
    </w:p>
    <w:p>
      <w:r>
        <w:t xml:space="preserve">Federal and Georgia R&amp;D credits can provide tax relief on qualified technical activities, typically as a percentage of qualified research spend including eligible wages.</w:t>
      </w:r>
    </w:p>
    <w:p>
      <w:r>
        <w:t xml:space="preserve">Examples of how Mapping Test Co may qualify include:</w:t>
      </w:r>
    </w:p>
    <w:p>
      <w:r>
        <w:t xml:space="preserve">- Care delivery workflow design and iterative validation for improved patient outcomes.</w:t>
      </w:r>
    </w:p>
    <w:p>
      <w:r>
        <w:t xml:space="preserve">- Development and testing of analytics or triage models for operational decision support.</w:t>
      </w:r>
    </w:p>
    <w:p>
      <w:r>
        <w:t xml:space="preserve">- Integration and optimization of clinical data systems under technical constraints.</w:t>
      </w:r>
    </w:p>
    <w:p>
      <w:r>
        <w:rPr>
          <w:b/>
        </w:rPr>
        <w:t xml:space="preserve">Cost Segregation</w:t>
      </w:r>
    </w:p>
    <w:p>
      <w:r>
        <w:t xml:space="preserve">Mapping Test Co may be able to reduce taxes through cost segregation by accelerating depreciation on newly constructed, expanded, or purchased facilities.</w:t>
      </w:r>
    </w:p>
    <w:p>
      <w:r>
        <w:t xml:space="preserve">For operations-heavy facilities, portions such as site improvements, electrical systems, specialized power, fabrication areas, and certain interior improvements may qualify for shorter depreciation lives.</w:t>
      </w:r>
    </w:p>
    <w:p>
      <w:r>
        <w:t xml:space="preserve">A substantial portion of commercial building basis (net of land) may be accelerated in year one, subject to current bonus depreciation rules and project facts.</w:t>
      </w:r>
    </w:p>
    <w:p>
      <w:r>
        <w:rPr>
          <w:b/>
        </w:rPr>
        <w:t xml:space="preserve">Georgia Investment Tax Credit</w:t>
      </w:r>
    </w:p>
    <w:p>
      <w:r>
        <w:t xml:space="preserve">Georgia Investment Tax Credit is generally targeted to qualifying manufacturing/telecommunications investments; detected industry does not appear to meet this program scope.</w:t>
      </w:r>
    </w:p>
    <w:p>
      <w:r>
        <w:t xml:space="preserve">Determination: unlikely</w:t>
      </w:r>
    </w:p>
    <w:tbl>
      <w:tr>
        <w:tc>
          <w:p>
            <w:r>
              <w:rPr>
                <w:b/>
              </w:rPr>
              <w:t>County</w:t>
            </w:r>
          </w:p>
        </w:tc>
        <w:tc>
          <w:p>
            <w:r>
              <w:rPr>
                <w:b/>
              </w:rPr>
              <w:t>Tier</w:t>
            </w:r>
          </w:p>
        </w:tc>
        <w:tc>
          <w:p>
            <w:r>
              <w:rPr>
                <w:b/>
              </w:rPr>
              <w:t>Investment Tax Credit %</w:t>
            </w:r>
          </w:p>
        </w:tc>
      </w:tr>
      <w:tr>
        <w:tc>
          <w:p>
            <w:r>
              <w:t>-</w:t>
            </w:r>
          </w:p>
        </w:tc>
        <w:tc>
          <w:p>
            <w:r>
              <w:t>Unmapped</w:t>
            </w:r>
          </w:p>
        </w:tc>
        <w:tc>
          <w:p>
            <w:r>
              <w:t>Needs verification</w:t>
            </w:r>
          </w:p>
        </w:tc>
      </w:tr>
    </w:tbl>
    <w:p>
      <w:r>
        <w:rPr>
          <w:b/>
        </w:rPr>
        <w:t xml:space="preserve">Automation Evidence Log</w:t>
      </w:r>
    </w:p>
    <w:p>
      <w:r>
        <w:t xml:space="preserve">- https://verida.com - Page fetch failed: HTTPSConnectionPool(host='verida.com', port=443): Max retries exceeded with url: / (Caused by NameResolutionError("HTTPSConnection(host='verida.com', port=443): Failed to resolve 'verida.com' ([Errno 8] nodename nor servname provided, or not known)"))</w:t>
      </w:r>
    </w:p>
    <w:p>
      <w:r>
        <w:t xml:space="preserve">- openai - OPENAI_API_KEY not configured; used deterministic sector profile.</w:t>
      </w:r>
    </w:p>
    <w:sectPr/>
  </w:body>
</w:document>
</file>

<file path=word/_rels/document.xml.rels><?xml version="1.0" encoding="UTF-8" standalone="yes"?>
<Relationships xmlns="http://schemas.openxmlformats.org/package/2006/relationships"/>

</file>