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Meal Analyzer Application Documentation</w:t>
      </w:r>
    </w:p>
    <w:p>
      <w:pPr>
        <w:pStyle w:val="Subtitle"/>
      </w:pPr>
      <w:r>
        <w:t xml:space="preserve">Version 2.0 | Last updated: April 2, 2026</w:t>
      </w:r>
    </w:p>
    <w:p>
      <w:pPr>
        <w:pStyle w:val="BodyText"/>
      </w:pPr>
      <w:r>
        <w:t xml:space="preserve">Repository: /Users/arun/Documents/GitHub/Health-Tech-App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The Meal Analyzer is a web-first application that lets users upload meal images, identify food items with multimodal AI, enrich those items with USDA nutrition data, and ask safe follow-up questions.</w:t>
      </w:r>
    </w:p>
    <w:p>
      <w:pPr>
        <w:pStyle w:val="BodyText"/>
      </w:pPr>
      <w:r>
        <w:t xml:space="preserve">The system is designed for general wellness information and applies safety checks before inference and before response delivery. Every analysis and follow-up answer includes a non-medical disclaimer.</w:t>
      </w:r>
    </w:p>
    <w:p>
      <w:pPr>
        <w:pStyle w:val="Heading1"/>
      </w:pPr>
      <w:r>
        <w:t xml:space="preserve">2. User Experience</w:t>
      </w:r>
    </w:p>
    <w:p>
      <w:pPr>
        <w:pStyle w:val="BodyText"/>
      </w:pPr>
      <w:r>
        <w:t xml:space="preserve">• Upload a meal photo in the browser UI at /app.</w:t>
      </w:r>
    </w:p>
    <w:p>
      <w:pPr>
        <w:pStyle w:val="BodyText"/>
      </w:pPr>
      <w:r>
        <w:t xml:space="preserve">• See pipeline stage status and timings (moderation, observer, inference, output review).</w:t>
      </w:r>
    </w:p>
    <w:p>
      <w:pPr>
        <w:pStyle w:val="BodyText"/>
      </w:pPr>
      <w:r>
        <w:t xml:space="preserve">• Review identified meal items and USDA-backed nutrition summary.</w:t>
      </w:r>
    </w:p>
    <w:p>
      <w:pPr>
        <w:pStyle w:val="BodyText"/>
      </w:pPr>
      <w:r>
        <w:t xml:space="preserve">• Ask follow-up questions and receive safety-reviewed answers with disclaimer.</w:t>
      </w:r>
    </w:p>
    <w:p>
      <w:pPr>
        <w:pStyle w:val="Heading1"/>
      </w:pPr>
      <w:r>
        <w:t xml:space="preserve">3. System Architecture Diagram</w:t>
      </w:r>
    </w:p>
    <w:p>
      <w:pPr>
        <w:pStyle w:val="BodyText"/>
      </w:pPr>
      <w:r>
        <w:t xml:space="preserve">The diagram below is a Word-native table diagram showing the production data path.</w:t>
      </w:r>
    </w:p>
    <w:tbl>
      <w:tblPr>
        <w:tblStyle w:val="TableGrid"/>
        <w:tblW w:w="0" w:type="auto"/>
        <w:tblBorders>
          <w:top w:val="single" w:sz="8" w:space="0" w:color="D0D7E2"/>
          <w:left w:val="single" w:sz="8" w:space="0" w:color="D0D7E2"/>
          <w:bottom w:val="single" w:sz="8" w:space="0" w:color="D0D7E2"/>
          <w:right w:val="single" w:sz="8" w:space="0" w:color="D0D7E2"/>
          <w:insideH w:val="single" w:sz="6" w:space="0" w:color="DCE3EC"/>
          <w:insideV w:val="single" w:sz="6" w:space="0" w:color="DCE3EC"/>
        </w:tblBorders>
      </w:tblPr>
      <w:tblGrid>
        <w:gridCol w:w="1500"/>
        <w:gridCol w:w="1600"/>
        <w:gridCol w:w="1500"/>
        <w:gridCol w:w="1500"/>
        <w:gridCol w:w="2400"/>
        <w:gridCol w:w="1700"/>
        <w:gridCol w:w="1900"/>
      </w:tblGrid>
      <w:tr>
        <w:tc>
          <w:tcPr>
            <w:tcW w:w="1500" w:type="dxa"/>
            <w:shd w:val="clear" w:color="auto" w:fill="1F4E78"/>
          </w:tcPr>
          <w:p>
            <w:pPr>
              <w:pStyle w:val="TableHeader"/>
            </w:pPr>
            <w:r>
              <w:t xml:space="preserve">Client</w:t>
            </w:r>
          </w:p>
        </w:tc>
        <w:tc>
          <w:tcPr>
            <w:tcW w:w="1600" w:type="dxa"/>
            <w:shd w:val="clear" w:color="auto" w:fill="1F4E78"/>
          </w:tcPr>
          <w:p>
            <w:pPr>
              <w:pStyle w:val="TableHeader"/>
            </w:pPr>
            <w:r>
              <w:t xml:space="preserve">API Layer</w:t>
            </w:r>
          </w:p>
        </w:tc>
        <w:tc>
          <w:tcPr>
            <w:tcW w:w="1500" w:type="dxa"/>
            <w:shd w:val="clear" w:color="auto" w:fill="1F4E78"/>
          </w:tcPr>
          <w:p>
            <w:pPr>
              <w:pStyle w:val="TableHeader"/>
            </w:pPr>
            <w:r>
              <w:t xml:space="preserve">Safety Gate</w:t>
            </w:r>
          </w:p>
        </w:tc>
        <w:tc>
          <w:tcPr>
            <w:tcW w:w="1500" w:type="dxa"/>
            <w:shd w:val="clear" w:color="auto" w:fill="1F4E78"/>
          </w:tcPr>
          <w:p>
            <w:pPr>
              <w:pStyle w:val="TableHeader"/>
            </w:pPr>
            <w:r>
              <w:t xml:space="preserve">Classification</w:t>
            </w:r>
          </w:p>
        </w:tc>
        <w:tc>
          <w:tcPr>
            <w:tcW w:w="2400" w:type="dxa"/>
            <w:shd w:val="clear" w:color="auto" w:fill="1F4E78"/>
          </w:tcPr>
          <w:p>
            <w:pPr>
              <w:pStyle w:val="TableHeader"/>
            </w:pPr>
            <w:r>
              <w:t xml:space="preserve">Inference + Tools</w:t>
            </w:r>
          </w:p>
        </w:tc>
        <w:tc>
          <w:tcPr>
            <w:tcW w:w="1700" w:type="dxa"/>
            <w:shd w:val="clear" w:color="auto" w:fill="1F4E78"/>
          </w:tcPr>
          <w:p>
            <w:pPr>
              <w:pStyle w:val="TableHeader"/>
            </w:pPr>
            <w:r>
              <w:t xml:space="preserve">Output Safety</w:t>
            </w:r>
          </w:p>
        </w:tc>
        <w:tc>
          <w:tcPr>
            <w:tcW w:w="1900" w:type="dxa"/>
            <w:shd w:val="clear" w:color="auto" w:fill="1F4E78"/>
          </w:tcPr>
          <w:p>
            <w:pPr>
              <w:pStyle w:val="TableHeader"/>
            </w:pPr>
            <w:r>
              <w:t xml:space="preserve">UI Result</w:t>
            </w:r>
          </w:p>
        </w:tc>
      </w:tr>
      <w:tr>
        <w:tc>
          <w:tcPr>
            <w:tcW w:w="1500" w:type="dxa"/>
            <w:shd w:val="clear" w:color="auto" w:fill="F8FBFF"/>
          </w:tcPr>
          <w:p>
            <w:pPr>
              <w:pStyle w:val="TableBody"/>
            </w:pPr>
            <w:r>
              <w:t xml:space="preserve">Browser /app</w:t>
            </w:r>
          </w:p>
        </w:tc>
        <w:tc>
          <w:tcPr>
            <w:tcW w:w="1600" w:type="dxa"/>
            <w:shd w:val="clear" w:color="auto" w:fill="F8FBFF"/>
          </w:tcPr>
          <w:p>
            <w:pPr>
              <w:pStyle w:val="TableBody"/>
            </w:pPr>
            <w:r>
              <w:t xml:space="preserve">FastAPI App API</w:t>
            </w:r>
          </w:p>
        </w:tc>
        <w:tc>
          <w:tcPr>
            <w:tcW w:w="1500" w:type="dxa"/>
            <w:shd w:val="clear" w:color="auto" w:fill="F8FBFF"/>
          </w:tcPr>
          <w:p>
            <w:pPr>
              <w:pStyle w:val="TableBody"/>
            </w:pPr>
            <w:r>
              <w:t xml:space="preserve">Moderations API</w:t>
            </w:r>
          </w:p>
        </w:tc>
        <w:tc>
          <w:tcPr>
            <w:tcW w:w="1500" w:type="dxa"/>
            <w:shd w:val="clear" w:color="auto" w:fill="F8FBFF"/>
          </w:tcPr>
          <w:p>
            <w:pPr>
              <w:pStyle w:val="TableBody"/>
            </w:pPr>
            <w:r>
              <w:t xml:space="preserve">Observer Model</w:t>
            </w:r>
          </w:p>
        </w:tc>
        <w:tc>
          <w:tcPr>
            <w:tcW w:w="2400" w:type="dxa"/>
            <w:shd w:val="clear" w:color="auto" w:fill="F8FBFF"/>
          </w:tcPr>
          <w:p>
            <w:pPr>
              <w:pStyle w:val="TableBody"/>
            </w:pPr>
            <w:r>
              <w:t xml:space="preserve">Inference Model + USDA API</w:t>
            </w:r>
          </w:p>
        </w:tc>
        <w:tc>
          <w:tcPr>
            <w:tcW w:w="1700" w:type="dxa"/>
            <w:shd w:val="clear" w:color="auto" w:fill="F8FBFF"/>
          </w:tcPr>
          <w:p>
            <w:pPr>
              <w:pStyle w:val="TableBody"/>
            </w:pPr>
            <w:r>
              <w:t xml:space="preserve">Output Reviewer</w:t>
            </w:r>
          </w:p>
        </w:tc>
        <w:tc>
          <w:tcPr>
            <w:tcW w:w="1900" w:type="dxa"/>
            <w:shd w:val="clear" w:color="auto" w:fill="F8FBFF"/>
          </w:tcPr>
          <w:p>
            <w:pPr>
              <w:pStyle w:val="TableBody"/>
            </w:pPr>
            <w:r>
              <w:t xml:space="preserve">Analysis + Disclaimer</w:t>
            </w:r>
          </w:p>
        </w:tc>
      </w:tr>
      <w:tr>
        <w:tc>
          <w:tcPr>
            <w:tcW w:w="1500" w:type="dxa"/>
            <w:shd w:val="clear" w:color="auto" w:fill="F8FBFF"/>
          </w:tcPr>
          <w:p>
            <w:pPr>
              <w:pStyle w:val="TableBody"/>
            </w:pPr>
            <w:r>
              <w:t xml:space="preserve"/>
            </w:r>
          </w:p>
        </w:tc>
        <w:tc>
          <w:tcPr>
            <w:tcW w:w="1600" w:type="dxa"/>
            <w:shd w:val="clear" w:color="auto" w:fill="F8FBFF"/>
          </w:tcPr>
          <w:p>
            <w:pPr>
              <w:pStyle w:val="TableBody"/>
            </w:pPr>
            <w:r>
              <w:t xml:space="preserve">POST /meals</w:t>
            </w:r>
          </w:p>
        </w:tc>
        <w:tc>
          <w:tcPr>
            <w:tcW w:w="1500" w:type="dxa"/>
            <w:shd w:val="clear" w:color="auto" w:fill="F8FBFF"/>
          </w:tcPr>
          <w:p>
            <w:pPr>
              <w:pStyle w:val="TableBody"/>
            </w:pPr>
            <w:r>
              <w:t xml:space="preserve">Block unsafe input</w:t>
            </w:r>
          </w:p>
        </w:tc>
        <w:tc>
          <w:tcPr>
            <w:tcW w:w="1500" w:type="dxa"/>
            <w:shd w:val="clear" w:color="auto" w:fill="F8FBFF"/>
          </w:tcPr>
          <w:p>
            <w:pPr>
              <w:pStyle w:val="TableBody"/>
            </w:pPr>
            <w:r>
              <w:t xml:space="preserve">food/non_food/uncertain</w:t>
            </w:r>
          </w:p>
        </w:tc>
        <w:tc>
          <w:tcPr>
            <w:tcW w:w="2400" w:type="dxa"/>
            <w:shd w:val="clear" w:color="auto" w:fill="F8FBFF"/>
          </w:tcPr>
          <w:p>
            <w:pPr>
              <w:pStyle w:val="TableBody"/>
            </w:pPr>
            <w:r>
              <w:t xml:space="preserve">Meal items + nutrition context</w:t>
            </w:r>
          </w:p>
        </w:tc>
        <w:tc>
          <w:tcPr>
            <w:tcW w:w="1700" w:type="dxa"/>
            <w:shd w:val="clear" w:color="auto" w:fill="F8FBFF"/>
          </w:tcPr>
          <w:p>
            <w:pPr>
              <w:pStyle w:val="TableBody"/>
            </w:pPr>
            <w:r>
              <w:t xml:space="preserve">General wellness wording</w:t>
            </w:r>
          </w:p>
        </w:tc>
        <w:tc>
          <w:tcPr>
            <w:tcW w:w="1900" w:type="dxa"/>
            <w:shd w:val="clear" w:color="auto" w:fill="F8FBFF"/>
          </w:tcPr>
          <w:p>
            <w:pPr>
              <w:pStyle w:val="TableBody"/>
            </w:pPr>
            <w:r>
              <w:t xml:space="preserve">Stage cards + nutrition + Q&amp;A</w:t>
            </w:r>
          </w:p>
        </w:tc>
      </w:tr>
    </w:tbl>
    <w:p>
      <w:pPr>
        <w:pStyle w:val="Heading1"/>
      </w:pPr>
      <w:r>
        <w:t xml:space="preserve">4. Data Flow Diagram (Operational)</w:t>
      </w:r>
    </w:p>
    <w:tbl>
      <w:tblPr>
        <w:tblStyle w:val="TableGrid"/>
        <w:tblW w:w="0" w:type="auto"/>
        <w:tblBorders>
          <w:top w:val="single" w:sz="8" w:space="0" w:color="D0D7E2"/>
          <w:left w:val="single" w:sz="8" w:space="0" w:color="D0D7E2"/>
          <w:bottom w:val="single" w:sz="8" w:space="0" w:color="D0D7E2"/>
          <w:right w:val="single" w:sz="8" w:space="0" w:color="D0D7E2"/>
          <w:insideH w:val="single" w:sz="6" w:space="0" w:color="DCE3EC"/>
          <w:insideV w:val="single" w:sz="6" w:space="0" w:color="DCE3EC"/>
        </w:tblBorders>
      </w:tblPr>
      <w:tblGrid>
        <w:gridCol w:w="800"/>
        <w:gridCol w:w="2200"/>
        <w:gridCol w:w="2300"/>
        <w:gridCol w:w="3300"/>
      </w:tblGrid>
      <w:tr>
        <w:tc>
          <w:tcPr>
            <w:tcW w:w="800" w:type="dxa"/>
            <w:shd w:val="clear" w:color="auto" w:fill="1F4E78"/>
          </w:tcPr>
          <w:p>
            <w:pPr>
              <w:pStyle w:val="TableHeader"/>
            </w:pPr>
            <w:r>
              <w:t xml:space="preserve">Step</w:t>
            </w:r>
          </w:p>
        </w:tc>
        <w:tc>
          <w:tcPr>
            <w:tcW w:w="2200" w:type="dxa"/>
            <w:shd w:val="clear" w:color="auto" w:fill="1F4E78"/>
          </w:tcPr>
          <w:p>
            <w:pPr>
              <w:pStyle w:val="TableHeader"/>
            </w:pPr>
            <w:r>
              <w:t xml:space="preserve">Input</w:t>
            </w:r>
          </w:p>
        </w:tc>
        <w:tc>
          <w:tcPr>
            <w:tcW w:w="2300" w:type="dxa"/>
            <w:shd w:val="clear" w:color="auto" w:fill="1F4E78"/>
          </w:tcPr>
          <w:p>
            <w:pPr>
              <w:pStyle w:val="TableHeader"/>
            </w:pPr>
            <w:r>
              <w:t xml:space="preserve">Processor</w:t>
            </w:r>
          </w:p>
        </w:tc>
        <w:tc>
          <w:tcPr>
            <w:tcW w:w="3300" w:type="dxa"/>
            <w:shd w:val="clear" w:color="auto" w:fill="1F4E78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Image + metadata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FastAPI /meals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Validated upload request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Validated request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OpenAI Moderations API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Safe/unsafe decision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3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Safe request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Observer model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food | non_food | uncertain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4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food route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Inference model (Responses API)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Detected meal items + estimates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5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Tool calls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Backend USDA client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Food matches + nutrient details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6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Structured inference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Output reviewer model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Safe structured payload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7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Safe payload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Orchestrator + store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Meal record + nutrition summary</w:t>
            </w:r>
          </w:p>
        </w:tc>
      </w:tr>
      <w:tr>
        <w:tc>
          <w:tcPr>
            <w:tcW w:w="800" w:type="dxa"/>
            <w:shd w:val="clear" w:color="auto" w:fill="F8FBFF"/>
          </w:tcPr>
          <w:p>
            <w:pPr>
              <w:pStyle w:val="TableBody"/>
            </w:pPr>
            <w:r>
              <w:t xml:space="preserve">8</w:t>
            </w:r>
          </w:p>
        </w:tc>
        <w:tc>
          <w:tcPr>
            <w:tcW w:w="2200" w:type="dxa"/>
            <w:shd w:val="clear" w:color="auto" w:fill="F8FBFF"/>
          </w:tcPr>
          <w:p>
            <w:pPr>
              <w:pStyle w:val="TableBody"/>
            </w:pPr>
            <w:r>
              <w:t xml:space="preserve">Question text</w:t>
            </w:r>
          </w:p>
        </w:tc>
        <w:tc>
          <w:tcPr>
            <w:tcW w:w="2300" w:type="dxa"/>
            <w:shd w:val="clear" w:color="auto" w:fill="F8FBFF"/>
          </w:tcPr>
          <w:p>
            <w:pPr>
              <w:pStyle w:val="TableBody"/>
            </w:pPr>
            <w:r>
              <w:t xml:space="preserve">Q&amp;A model + reviewer</w:t>
            </w:r>
          </w:p>
        </w:tc>
        <w:tc>
          <w:tcPr>
            <w:tcW w:w="3300" w:type="dxa"/>
            <w:shd w:val="clear" w:color="auto" w:fill="F8FBFF"/>
          </w:tcPr>
          <w:p>
            <w:pPr>
              <w:pStyle w:val="TableBody"/>
            </w:pPr>
            <w:r>
              <w:t xml:space="preserve">Answer + disclaimer</w:t>
            </w:r>
          </w:p>
        </w:tc>
      </w:tr>
    </w:tbl>
    <w:p>
      <w:pPr>
        <w:pStyle w:val="Heading1"/>
      </w:pPr>
      <w:r>
        <w:t xml:space="preserve">5. API Surface</w:t>
      </w:r>
    </w:p>
    <w:tbl>
      <w:tblPr>
        <w:tblStyle w:val="TableGrid"/>
        <w:tblW w:w="0" w:type="auto"/>
        <w:tblBorders>
          <w:top w:val="single" w:sz="8" w:space="0" w:color="D0D7E2"/>
          <w:left w:val="single" w:sz="8" w:space="0" w:color="D0D7E2"/>
          <w:bottom w:val="single" w:sz="8" w:space="0" w:color="D0D7E2"/>
          <w:right w:val="single" w:sz="8" w:space="0" w:color="D0D7E2"/>
          <w:insideH w:val="single" w:sz="6" w:space="0" w:color="DCE3EC"/>
          <w:insideV w:val="single" w:sz="6" w:space="0" w:color="DCE3EC"/>
        </w:tblBorders>
      </w:tblPr>
      <w:tblGrid>
        <w:gridCol w:w="3000"/>
        <w:gridCol w:w="1200"/>
        <w:gridCol w:w="4400"/>
      </w:tblGrid>
      <w:tr>
        <w:tc>
          <w:tcPr>
            <w:tcW w:w="3000" w:type="dxa"/>
            <w:shd w:val="clear" w:color="auto" w:fill="1F4E78"/>
          </w:tcPr>
          <w:p>
            <w:pPr>
              <w:pStyle w:val="TableHeader"/>
            </w:pPr>
            <w:r>
              <w:t xml:space="preserve">Endpoint</w:t>
            </w:r>
          </w:p>
        </w:tc>
        <w:tc>
          <w:tcPr>
            <w:tcW w:w="1200" w:type="dxa"/>
            <w:shd w:val="clear" w:color="auto" w:fill="1F4E78"/>
          </w:tcPr>
          <w:p>
            <w:pPr>
              <w:pStyle w:val="TableHeader"/>
            </w:pPr>
            <w:r>
              <w:t xml:space="preserve">Method</w:t>
            </w:r>
          </w:p>
        </w:tc>
        <w:tc>
          <w:tcPr>
            <w:tcW w:w="4400" w:type="dxa"/>
            <w:shd w:val="clear" w:color="auto" w:fill="1F4E78"/>
          </w:tcPr>
          <w:p>
            <w:pPr>
              <w:pStyle w:val="TableHeader"/>
            </w:pPr>
            <w:r>
              <w:t xml:space="preserve">Purpose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GET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Service metadata and route list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/health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GET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Health check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/app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GET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Web UI entrypoint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/auth/register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POST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Register demo user context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/auth/login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POST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Return demo auth token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/meals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POST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Run meal analysis pipeline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/meals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GET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List meal records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/meals/{meal_id}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GET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Fetch meal record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/meals/{meal_id}/questions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POST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Ask follow-up question</w:t>
            </w:r>
          </w:p>
        </w:tc>
      </w:tr>
      <w:tr>
        <w:tc>
          <w:tcPr>
            <w:tcW w:w="3000" w:type="dxa"/>
            <w:shd w:val="clear" w:color="auto" w:fill="F8FBFF"/>
          </w:tcPr>
          <w:p>
            <w:pPr>
              <w:pStyle w:val="TableBody"/>
            </w:pPr>
            <w:r>
              <w:t xml:space="preserve">/meals/{meal_id}/export</w:t>
            </w:r>
          </w:p>
        </w:tc>
        <w:tc>
          <w:tcPr>
            <w:tcW w:w="1200" w:type="dxa"/>
            <w:shd w:val="clear" w:color="auto" w:fill="F8FBFF"/>
          </w:tcPr>
          <w:p>
            <w:pPr>
              <w:pStyle w:val="TableBody"/>
            </w:pPr>
            <w:r>
              <w:t xml:space="preserve">POST</w:t>
            </w:r>
          </w:p>
        </w:tc>
        <w:tc>
          <w:tcPr>
            <w:tcW w:w="4400" w:type="dxa"/>
            <w:shd w:val="clear" w:color="auto" w:fill="F8FBFF"/>
          </w:tcPr>
          <w:p>
            <w:pPr>
              <w:pStyle w:val="TableBody"/>
            </w:pPr>
            <w:r>
              <w:t xml:space="preserve">Export meal payload</w:t>
            </w:r>
          </w:p>
        </w:tc>
      </w:tr>
    </w:tbl>
    <w:p>
      <w:pPr>
        <w:pStyle w:val="Heading1"/>
      </w:pPr>
      <w:r>
        <w:t xml:space="preserve">6. Safety Guardrails</w:t>
      </w:r>
    </w:p>
    <w:p>
      <w:pPr>
        <w:pStyle w:val="BodyText"/>
      </w:pPr>
      <w:r>
        <w:t xml:space="preserve">• Unsafe image/text is rejected before inference.</w:t>
      </w:r>
    </w:p>
    <w:p>
      <w:pPr>
        <w:pStyle w:val="BodyText"/>
      </w:pPr>
      <w:r>
        <w:t xml:space="preserve">• Non-food uploads are filtered before detailed meal extraction.</w:t>
      </w:r>
    </w:p>
    <w:p>
      <w:pPr>
        <w:pStyle w:val="BodyText"/>
      </w:pPr>
      <w:r>
        <w:t xml:space="preserve">• Output reviewer enforces non-medical, general wellness language.</w:t>
      </w:r>
    </w:p>
    <w:p>
      <w:pPr>
        <w:pStyle w:val="BodyText"/>
      </w:pPr>
      <w:r>
        <w:t xml:space="preserve">• Analysis and follow-up responses include disclaimer text indicating estimates may vary.</w:t>
      </w:r>
    </w:p>
    <w:p>
      <w:pPr>
        <w:pStyle w:val="Heading1"/>
      </w:pPr>
      <w:r>
        <w:t xml:space="preserve">7. Configuration and Startup</w:t>
      </w:r>
    </w:p>
    <w:p>
      <w:pPr>
        <w:pStyle w:val="BodyText"/>
      </w:pPr>
      <w:r>
        <w:rPr>
          <w:b/>
        </w:rPr>
        <w:t xml:space="preserve">Primary local commands:</w:t>
      </w:r>
    </w:p>
    <w:p>
      <w:pPr>
        <w:pStyle w:val="BodyText"/>
      </w:pPr>
      <w:r>
        <w:t xml:space="preserve">• sh start.sh web</w:t>
      </w:r>
    </w:p>
    <w:p>
      <w:pPr>
        <w:pStyle w:val="BodyText"/>
      </w:pPr>
      <w:r>
        <w:t xml:space="preserve">• sh stop.sh web</w:t>
      </w:r>
    </w:p>
    <w:p>
      <w:pPr>
        <w:pStyle w:val="BodyText"/>
      </w:pPr>
      <w:r>
        <w:t xml:space="preserve">• npm run test:python</w:t>
      </w:r>
    </w:p>
    <w:p>
      <w:pPr>
        <w:pStyle w:val="BodyText"/>
      </w:pPr>
      <w:r>
        <w:rPr>
          <w:b/>
        </w:rPr>
        <w:t xml:space="preserve">Optional environment variables:</w:t>
      </w:r>
    </w:p>
    <w:p>
      <w:pPr>
        <w:pStyle w:val="BodyText"/>
      </w:pPr>
      <w:r>
        <w:t xml:space="preserve">• OPENAI_API_KEY</w:t>
      </w:r>
    </w:p>
    <w:p>
      <w:pPr>
        <w:pStyle w:val="BodyText"/>
      </w:pPr>
      <w:r>
        <w:t xml:space="preserve">• OPENAI_MEAL_MODEL</w:t>
      </w:r>
    </w:p>
    <w:p>
      <w:pPr>
        <w:pStyle w:val="BodyText"/>
      </w:pPr>
      <w:r>
        <w:t xml:space="preserve">• OPENAI_OBSERVER_MODEL</w:t>
      </w:r>
    </w:p>
    <w:p>
      <w:pPr>
        <w:pStyle w:val="BodyText"/>
      </w:pPr>
      <w:r>
        <w:t xml:space="preserve">• OPENAI_OUTPUT_REVIEW_MODEL</w:t>
      </w:r>
    </w:p>
    <w:p>
      <w:pPr>
        <w:pStyle w:val="BodyText"/>
      </w:pPr>
      <w:r>
        <w:t xml:space="preserve">• USDA_API_KEY</w:t>
      </w:r>
    </w:p>
    <w:p>
      <w:pPr>
        <w:pStyle w:val="Heading1"/>
      </w:pPr>
      <w:r>
        <w:t xml:space="preserve">8. Logging and Diagnostics</w:t>
      </w:r>
    </w:p>
    <w:p>
      <w:pPr>
        <w:pStyle w:val="BodyText"/>
      </w:pPr>
      <w:r>
        <w:t xml:space="preserve">• Foreground runs: uvicorn logs to terminal stdout/stderr.</w:t>
      </w:r>
    </w:p>
    <w:p>
      <w:pPr>
        <w:pStyle w:val="BodyText"/>
      </w:pPr>
      <w:r>
        <w:t xml:space="preserve">• Background runs: logs are written to /tmp/health-tech-web.log, /tmp/health-tech-app-api.log, /tmp/health-tech-nutrition-service.log.</w:t>
      </w:r>
    </w:p>
    <w:p>
      <w:pPr>
        <w:pStyle w:val="Heading1"/>
      </w:pPr>
      <w:r>
        <w:t xml:space="preserve">9. Known Limitations</w:t>
      </w:r>
    </w:p>
    <w:p>
      <w:pPr>
        <w:pStyle w:val="BodyText"/>
      </w:pPr>
      <w:r>
        <w:t xml:space="preserve">• Current meal storage is in-memory and resets when process restarts.</w:t>
      </w:r>
    </w:p>
    <w:p>
      <w:pPr>
        <w:pStyle w:val="BodyText"/>
      </w:pPr>
      <w:r>
        <w:t xml:space="preserve">• Portion and count estimates are image-based approximations.</w:t>
      </w:r>
    </w:p>
    <w:p>
      <w:pPr>
        <w:pStyle w:val="BodyText"/>
      </w:pPr>
      <w:r>
        <w:t xml:space="preserve">• USDA match quality depends on search candidate relevance.</w:t>
      </w:r>
    </w:p>
    <w:p>
      <w:pPr>
        <w:pStyle w:val="Heading1"/>
      </w:pPr>
      <w:r>
        <w:t xml:space="preserve">10. Key Implementation Files</w:t>
      </w:r>
    </w:p>
    <w:p>
      <w:pPr>
        <w:pStyle w:val="BodyText"/>
      </w:pPr>
      <w:r>
        <w:t xml:space="preserve">• services/app-api/src/app_api/api.py</w:t>
      </w:r>
    </w:p>
    <w:p>
      <w:pPr>
        <w:pStyle w:val="BodyText"/>
      </w:pPr>
      <w:r>
        <w:t xml:space="preserve">• services/app-api/src/app_api/analysis.py</w:t>
      </w:r>
    </w:p>
    <w:p>
      <w:pPr>
        <w:pStyle w:val="BodyText"/>
      </w:pPr>
      <w:r>
        <w:t xml:space="preserve">• services/app-api/src/app_api/openai_responses.py</w:t>
      </w:r>
    </w:p>
    <w:p>
      <w:pPr>
        <w:pStyle w:val="BodyText"/>
      </w:pPr>
      <w:r>
        <w:t xml:space="preserve">• services/app-api/src/app_api/usda_client.py</w:t>
      </w:r>
    </w:p>
    <w:p>
      <w:pPr>
        <w:pStyle w:val="BodyText"/>
      </w:pPr>
      <w:r>
        <w:t xml:space="preserve">• services/app-api/src/app_api/policy.py</w:t>
      </w:r>
    </w:p>
    <w:p>
      <w:pPr>
        <w:pStyle w:val="BodyText"/>
      </w:pPr>
      <w:r>
        <w:t xml:space="preserve">• services/app-api/src/app_api/models.py</w:t>
      </w:r>
    </w:p>
    <w:p>
      <w:pPr>
        <w:pStyle w:val="BodyText"/>
      </w:pPr>
      <w:r>
        <w:t xml:space="preserve">• services/app-api/src/app_api/schemas.py</w:t>
      </w:r>
    </w:p>
    <w:p>
      <w:pPr>
        <w:pStyle w:val="BodyText"/>
      </w:pPr>
      <w:r>
        <w:t xml:space="preserve">• services/app-api/src/app_api/static/index.html</w:t>
      </w:r>
    </w:p>
    <w:p>
      <w:pPr>
        <w:pStyle w:val="BodyText"/>
      </w:pPr>
      <w:r>
        <w:t xml:space="preserve">• services/app-api/src/app_api/static/app.js</w:t>
      </w:r>
    </w:p>
    <w:p>
      <w:pPr>
        <w:pStyle w:val="BodyText"/>
      </w:pPr>
      <w:r>
        <w:t xml:space="preserve">• services/app-api/src/app_api/static/app.css</w:t>
      </w:r>
    </w:p>
    <w:sectPr>
      <w:pgSz w:w="12240" w:h="15840"/>
      <w:pgMar w:top="1200" w:right="1000" w:bottom="1200" w:left="10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Subtitle"/>
    <w:qFormat/>
    <w:pPr>
      <w:spacing w:before="120" w:after="180"/>
    </w:pPr>
    <w:rPr>
      <w:b/>
      <w:color w:val="1F4E78"/>
      <w:sz w:val="40"/>
    </w:rPr>
  </w:style>
  <w:style w:type="paragraph" w:styleId="Subtitle">
    <w:name w:val="Subtitle"/>
    <w:basedOn w:val="Normal"/>
    <w:qFormat/>
    <w:rPr>
      <w:color w:val="4A5568"/>
      <w:sz w:val="22"/>
    </w:rPr>
  </w:style>
  <w:style w:type="paragraph" w:styleId="Heading1">
    <w:name w:val="heading 1"/>
    <w:basedOn w:val="Normal"/>
    <w:next w:val="BodyText"/>
    <w:qFormat/>
    <w:pPr>
      <w:spacing w:before="260" w:after="140"/>
    </w:pPr>
    <w:rPr>
      <w:b/>
      <w:color w:val="1F4E78"/>
      <w:sz w:val="30"/>
    </w:rPr>
  </w:style>
  <w:style w:type="paragraph" w:styleId="BodyText">
    <w:name w:val="Body Text"/>
    <w:basedOn w:val="Normal"/>
    <w:qFormat/>
    <w:pPr>
      <w:spacing w:after="120" w:line="300" w:lineRule="auto"/>
    </w:pPr>
    <w:rPr>
      <w:sz w:val="22"/>
    </w:rPr>
  </w:style>
  <w:style w:type="paragraph" w:styleId="TableHeader">
    <w:name w:val="Table Header"/>
    <w:basedOn w:val="Normal"/>
    <w:qFormat/>
    <w:pPr>
      <w:jc w:val="center"/>
      <w:spacing w:after="40"/>
    </w:pPr>
    <w:rPr>
      <w:b/>
      <w:color w:val="FFFFFF"/>
      <w:sz w:val="20"/>
    </w:rPr>
  </w:style>
  <w:style w:type="paragraph" w:styleId="TableBody">
    <w:name w:val="Table Body"/>
    <w:basedOn w:val="Normal"/>
    <w:qFormat/>
    <w:pPr>
      <w:jc w:val="left"/>
      <w:spacing w:after="40"/>
    </w:pPr>
    <w:rPr>
      <w:sz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 Analyzer Application Documentation</dc:title>
  <dc:creator>Codex</dc:creator>
  <cp:lastModifiedBy>Codex</cp:lastModifiedBy>
</cp:coreProperties>
</file>