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640"/>
      </w:pPr>
    </w:p>
    <w:p>
      <w:pPr>
        <w:widowControl/>
        <w:spacing w:after="360"/>
        <w:jc w:val="center"/>
      </w:pPr>
      <w:r>
        <w:rPr>
          <w:rFonts w:ascii="Calibri" w:hAnsi="Calibri"/>
          <w:b/>
          <w:color w:val="2E74B5"/>
          <w:sz w:val="20"/>
        </w:rPr>
        <w:t>SYSTEM READINESS REPORT</w:t>
      </w:r>
    </w:p>
    <w:p>
      <w:pPr>
        <w:pStyle w:val="Title"/>
        <w:widowControl/>
        <w:spacing w:after="200"/>
        <w:jc w:val="center"/>
      </w:pPr>
      <w:r>
        <w:t>U-GETMO E-commerce Platform</w:t>
      </w:r>
    </w:p>
    <w:p>
      <w:pPr>
        <w:pStyle w:val="Subtitle"/>
        <w:widowControl/>
        <w:spacing w:after="100"/>
        <w:jc w:val="center"/>
      </w:pPr>
      <w:r>
        <w:t>MVP-to-Production Readiness Assessment and Remediation Roadmap</w:t>
      </w:r>
    </w:p>
    <w:p>
      <w:pPr>
        <w:widowControl/>
        <w:spacing w:after="800"/>
        <w:jc w:val="center"/>
      </w:pPr>
      <w:r>
        <w:rPr>
          <w:rFonts w:ascii="Calibri" w:hAnsi="Calibri"/>
          <w:i/>
          <w:color w:val="1F4D78"/>
          <w:sz w:val="21"/>
        </w:rPr>
        <w:t>Assessed against AI-SWE-001 - Build Systems, Not Just Features</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shd w:fill="E8EEF5"/>
            <w:tcMar>
              <w:top w:w="100" w:type="dxa"/>
              <w:start w:w="120" w:type="dxa"/>
              <w:bottom w:w="100" w:type="dxa"/>
              <w:end w:w="120" w:type="dxa"/>
            </w:tcMar>
            <w:vAlign w:val="center"/>
          </w:tcPr>
          <w:p>
            <w:pPr>
              <w:spacing w:before="0" w:after="40" w:line="252" w:lineRule="auto"/>
            </w:pPr>
            <w:r>
              <w:rPr>
                <w:rFonts w:ascii="Calibri" w:hAnsi="Calibri"/>
                <w:b/>
                <w:color w:val="000000"/>
                <w:sz w:val="20"/>
              </w:rPr>
              <w:t>Assessment date</w:t>
            </w:r>
          </w:p>
        </w:tc>
        <w:tc>
          <w:tcPr>
            <w:tcW w:type="dxa" w:w="6560"/>
            <w:tcMar>
              <w:top w:w="100" w:type="dxa"/>
              <w:start w:w="120" w:type="dxa"/>
              <w:bottom w:w="100" w:type="dxa"/>
              <w:end w:w="120" w:type="dxa"/>
            </w:tcMar>
            <w:vAlign w:val="center"/>
          </w:tcPr>
          <w:p>
            <w:pPr>
              <w:spacing w:before="0" w:after="40" w:line="252" w:lineRule="auto"/>
            </w:pPr>
            <w:r>
              <w:rPr>
                <w:rFonts w:ascii="Calibri" w:hAnsi="Calibri"/>
                <w:b w:val="0"/>
                <w:color w:val="000000"/>
                <w:sz w:val="20"/>
              </w:rPr>
              <w:t>27 August 2026</w:t>
            </w:r>
          </w:p>
        </w:tc>
      </w:tr>
      <w:tr>
        <w:tc>
          <w:tcPr>
            <w:tcW w:type="dxa" w:w="2800"/>
            <w:shd w:fill="E8EEF5"/>
            <w:tcMar>
              <w:top w:w="100" w:type="dxa"/>
              <w:start w:w="120" w:type="dxa"/>
              <w:bottom w:w="100" w:type="dxa"/>
              <w:end w:w="120" w:type="dxa"/>
            </w:tcMar>
            <w:vAlign w:val="center"/>
          </w:tcPr>
          <w:p>
            <w:pPr>
              <w:spacing w:before="0" w:after="40" w:line="252" w:lineRule="auto"/>
            </w:pPr>
            <w:r>
              <w:rPr>
                <w:rFonts w:ascii="Calibri" w:hAnsi="Calibri"/>
                <w:b/>
                <w:color w:val="000000"/>
                <w:sz w:val="20"/>
              </w:rPr>
              <w:t>Current classification</w:t>
            </w:r>
          </w:p>
        </w:tc>
        <w:tc>
          <w:tcPr>
            <w:tcW w:type="dxa" w:w="6560"/>
            <w:tcMar>
              <w:top w:w="100" w:type="dxa"/>
              <w:start w:w="120" w:type="dxa"/>
              <w:bottom w:w="100" w:type="dxa"/>
              <w:end w:w="120" w:type="dxa"/>
            </w:tcMar>
            <w:vAlign w:val="center"/>
          </w:tcPr>
          <w:p>
            <w:pPr>
              <w:spacing w:before="0" w:after="40" w:line="252" w:lineRule="auto"/>
            </w:pPr>
            <w:r>
              <w:rPr>
                <w:rFonts w:ascii="Calibri" w:hAnsi="Calibri"/>
                <w:b w:val="0"/>
                <w:color w:val="000000"/>
                <w:sz w:val="20"/>
              </w:rPr>
              <w:t>Level 1 - MVP</w:t>
            </w:r>
          </w:p>
        </w:tc>
      </w:tr>
      <w:tr>
        <w:tc>
          <w:tcPr>
            <w:tcW w:type="dxa" w:w="2800"/>
            <w:shd w:fill="E8EEF5"/>
            <w:tcMar>
              <w:top w:w="100" w:type="dxa"/>
              <w:start w:w="120" w:type="dxa"/>
              <w:bottom w:w="100" w:type="dxa"/>
              <w:end w:w="120" w:type="dxa"/>
            </w:tcMar>
            <w:vAlign w:val="center"/>
          </w:tcPr>
          <w:p>
            <w:pPr>
              <w:spacing w:before="0" w:after="40" w:line="252" w:lineRule="auto"/>
            </w:pPr>
            <w:r>
              <w:rPr>
                <w:rFonts w:ascii="Calibri" w:hAnsi="Calibri"/>
                <w:b/>
                <w:color w:val="000000"/>
                <w:sz w:val="20"/>
              </w:rPr>
              <w:t>Target classification</w:t>
            </w:r>
          </w:p>
        </w:tc>
        <w:tc>
          <w:tcPr>
            <w:tcW w:type="dxa" w:w="6560"/>
            <w:tcMar>
              <w:top w:w="100" w:type="dxa"/>
              <w:start w:w="120" w:type="dxa"/>
              <w:bottom w:w="100" w:type="dxa"/>
              <w:end w:w="120" w:type="dxa"/>
            </w:tcMar>
            <w:vAlign w:val="center"/>
          </w:tcPr>
          <w:p>
            <w:pPr>
              <w:spacing w:before="0" w:after="40" w:line="252" w:lineRule="auto"/>
            </w:pPr>
            <w:r>
              <w:rPr>
                <w:rFonts w:ascii="Calibri" w:hAnsi="Calibri"/>
                <w:b w:val="0"/>
                <w:color w:val="000000"/>
                <w:sz w:val="20"/>
              </w:rPr>
              <w:t>Level 2 - Production System</w:t>
            </w:r>
          </w:p>
        </w:tc>
      </w:tr>
      <w:tr>
        <w:tc>
          <w:tcPr>
            <w:tcW w:type="dxa" w:w="2800"/>
            <w:shd w:fill="E8EEF5"/>
            <w:tcMar>
              <w:top w:w="100" w:type="dxa"/>
              <w:start w:w="120" w:type="dxa"/>
              <w:bottom w:w="100" w:type="dxa"/>
              <w:end w:w="120" w:type="dxa"/>
            </w:tcMar>
            <w:vAlign w:val="center"/>
          </w:tcPr>
          <w:p>
            <w:pPr>
              <w:spacing w:before="0" w:after="40" w:line="252" w:lineRule="auto"/>
            </w:pPr>
            <w:r>
              <w:rPr>
                <w:rFonts w:ascii="Calibri" w:hAnsi="Calibri"/>
                <w:b/>
                <w:color w:val="000000"/>
                <w:sz w:val="20"/>
              </w:rPr>
              <w:t>Production decision</w:t>
            </w:r>
          </w:p>
        </w:tc>
        <w:tc>
          <w:tcPr>
            <w:tcW w:type="dxa" w:w="6560"/>
            <w:shd w:fill="FDECEC"/>
            <w:tcMar>
              <w:top w:w="100" w:type="dxa"/>
              <w:start w:w="120" w:type="dxa"/>
              <w:bottom w:w="100" w:type="dxa"/>
              <w:end w:w="120" w:type="dxa"/>
            </w:tcMar>
            <w:vAlign w:val="center"/>
          </w:tcPr>
          <w:p>
            <w:pPr>
              <w:spacing w:before="0" w:after="40" w:line="252" w:lineRule="auto"/>
            </w:pPr>
            <w:r>
              <w:rPr>
                <w:rFonts w:ascii="Calibri" w:hAnsi="Calibri"/>
                <w:b w:val="0"/>
                <w:color w:val="000000"/>
                <w:sz w:val="20"/>
              </w:rPr>
              <w:t>NOT APPROVED - Critical blockers remain</w:t>
            </w:r>
          </w:p>
        </w:tc>
      </w:tr>
    </w:tbl>
    <w:p>
      <w:pPr>
        <w:widowControl/>
      </w:pPr>
    </w:p>
    <w:p>
      <w:pPr>
        <w:widowControl/>
        <w:jc w:val="center"/>
      </w:pPr>
      <w:r>
        <w:rPr>
          <w:rFonts w:ascii="Calibri" w:hAnsi="Calibri"/>
          <w:i/>
          <w:color w:val="667085"/>
          <w:sz w:val="18"/>
        </w:rPr>
        <w:t>Prepared as a codebase and readiness review. Sensitive credential values are intentionally excluded.</w:t>
      </w:r>
    </w:p>
    <w:p>
      <w:pPr>
        <w:widowControl/>
      </w:pPr>
      <w:r>
        <w:br w:type="page"/>
      </w:r>
    </w:p>
    <w:p>
      <w:pPr>
        <w:pStyle w:val="Heading1"/>
        <w:widowControl/>
      </w:pPr>
      <w:r>
        <w:t>Executive summary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before="40" w:after="40"/>
            </w:pPr>
            <w:r>
              <w:rPr>
                <w:rFonts w:ascii="Calibri" w:hAnsi="Calibri"/>
                <w:b/>
                <w:color w:val="9B1C1C"/>
                <w:sz w:val="22"/>
              </w:rPr>
              <w:t xml:space="preserve">Overall conclusion: </w:t>
            </w:r>
            <w:r>
              <w:rPr>
                <w:rFonts w:ascii="Calibri" w:hAnsi="Calibri"/>
                <w:color w:val="000000"/>
                <w:sz w:val="22"/>
              </w:rPr>
              <w:t>The project has a credible e-commerce feature foundation and a successful production build, but it does not yet satisfy the blueprint's Level 2 production requirements. Production approval is blocked by confirmed security exposures, absent automated testing and CI/CD, insufficient operational visibility, and missing recovery evidence.</w:t>
            </w:r>
          </w:p>
        </w:tc>
      </w:tr>
    </w:tbl>
    <w:p>
      <w:pPr>
        <w:widowControl/>
        <w:spacing w:after="40"/>
      </w:pPr>
    </w:p>
    <w:p>
      <w:pPr>
        <w:widowControl/>
      </w:pPr>
      <w:r>
        <w:t>The codebase demonstrates meaningful MVP progress: a storefront, product categories, customer authentication, profiles, carts, wishlists, orders, administrative workflows, supplier integrations, and payment initiation are represented. The frontend is built with a modern Next.js and TypeScript stack, uses reusable components, includes responsive behavior, and completes an optimized production build.</w:t>
      </w:r>
    </w:p>
    <w:p>
      <w:pPr>
        <w:widowControl/>
      </w:pPr>
      <w:r>
        <w:t>Those strengths establish product feasibility; they do not establish safe operation. AI-SWE-001 explicitly distinguishes Feature Complete from Production Ready. For an e-commerce service handling identities, addresses, prices, orders, supplier credentials, administrative capabilities, and payment transitions, the production threshold must be materially higher than a general informational website.</w:t>
      </w:r>
    </w:p>
    <w:p>
      <w:pPr>
        <w:pStyle w:val="Heading2"/>
        <w:widowControl/>
      </w:pPr>
      <w:r>
        <w:t>Decision</w:t>
      </w:r>
    </w:p>
    <w:p>
      <w:pPr>
        <w:widowControl/>
        <w:numPr>
          <w:ilvl w:val="0"/>
          <w:numId w:val="10"/>
        </w:numPr>
      </w:pPr>
      <w:r>
        <w:rPr>
          <w:b/>
        </w:rPr>
        <w:t>Current maturity:</w:t>
      </w:r>
      <w:r>
        <w:t xml:space="preserve"> Level 1 - MVP.</w:t>
      </w:r>
    </w:p>
    <w:p>
      <w:pPr>
        <w:widowControl/>
        <w:numPr>
          <w:ilvl w:val="0"/>
          <w:numId w:val="10"/>
        </w:numPr>
      </w:pPr>
      <w:r>
        <w:rPr>
          <w:b/>
        </w:rPr>
        <w:t>Target maturity:</w:t>
      </w:r>
      <w:r>
        <w:t xml:space="preserve"> Level 2 - Production System.</w:t>
      </w:r>
    </w:p>
    <w:p>
      <w:pPr>
        <w:widowControl/>
        <w:numPr>
          <w:ilvl w:val="0"/>
          <w:numId w:val="10"/>
        </w:numPr>
      </w:pPr>
      <w:r>
        <w:rPr>
          <w:b/>
        </w:rPr>
        <w:t>Release decision:</w:t>
      </w:r>
      <w:r>
        <w:t xml:space="preserve"> do not approve a public production launch in the current state.</w:t>
      </w:r>
    </w:p>
    <w:p>
      <w:pPr>
        <w:widowControl/>
        <w:numPr>
          <w:ilvl w:val="0"/>
          <w:numId w:val="10"/>
        </w:numPr>
      </w:pPr>
      <w:r>
        <w:rPr>
          <w:b/>
        </w:rPr>
        <w:t>Positive trajectory:</w:t>
      </w:r>
      <w:r>
        <w:t xml:space="preserve"> yes, if security containment begins immediately and the remediation roadmap becomes funded release scope.</w:t>
      </w:r>
    </w:p>
    <w:p>
      <w:pPr>
        <w:pStyle w:val="Heading2"/>
        <w:widowControl/>
      </w:pPr>
      <w:r>
        <w:t>Highest-priority findings</w:t>
      </w:r>
    </w:p>
    <w:p>
      <w:pPr>
        <w:widowControl/>
        <w:numPr>
          <w:ilvl w:val="0"/>
          <w:numId w:val="10"/>
        </w:numPr>
      </w:pPr>
      <w:r>
        <w:t>A supplier credential is embedded in source code and must be treated as compromised.</w:t>
      </w:r>
    </w:p>
    <w:p>
      <w:pPr>
        <w:widowControl/>
        <w:numPr>
          <w:ilvl w:val="0"/>
          <w:numId w:val="10"/>
        </w:numPr>
      </w:pPr>
      <w:r>
        <w:t>Authorization trusts decoded but unverified JWT claims, while application API routes bypass middleware.</w:t>
      </w:r>
    </w:p>
    <w:p>
      <w:pPr>
        <w:widowControl/>
        <w:numPr>
          <w:ilvl w:val="0"/>
          <w:numId w:val="10"/>
        </w:numPr>
      </w:pPr>
      <w:r>
        <w:t>Wildcard supplier proxies expose broad server-held capabilities without an evidenced trusted authorization boundary.</w:t>
      </w:r>
    </w:p>
    <w:p>
      <w:pPr>
        <w:widowControl/>
        <w:numPr>
          <w:ilvl w:val="0"/>
          <w:numId w:val="10"/>
        </w:numPr>
      </w:pPr>
      <w:r>
        <w:t>No automated tests or CI/CD pipeline are included in the supplied project.</w:t>
      </w:r>
    </w:p>
    <w:p>
      <w:pPr>
        <w:widowControl/>
        <w:numPr>
          <w:ilvl w:val="0"/>
          <w:numId w:val="10"/>
        </w:numPr>
      </w:pPr>
      <w:r>
        <w:t>No production monitoring, centralized error tracking, tested restoration, or rollback evidence is present.</w:t>
      </w:r>
    </w:p>
    <w:p>
      <w:pPr>
        <w:widowControl/>
      </w:pPr>
      <w:r>
        <w:br w:type="page"/>
      </w:r>
    </w:p>
    <w:p>
      <w:pPr>
        <w:pStyle w:val="Heading1"/>
        <w:widowControl/>
      </w:pPr>
      <w:r>
        <w:t>1. Assessment basis and scope</w:t>
      </w:r>
    </w:p>
    <w:p>
      <w:pPr>
        <w:pStyle w:val="Heading2"/>
        <w:widowControl/>
      </w:pPr>
      <w:r>
        <w:t>1.1 Source standard</w:t>
      </w:r>
    </w:p>
    <w:p>
      <w:pPr>
        <w:widowControl/>
      </w:pPr>
      <w:r>
        <w:t>This report uses AI Software Engineer Blueprint v0.1, standard AI-SWE-001, as the governing production-readiness model. The blueprint requires evaluation of product functionality, application and data architecture, security, infrastructure, deployment, performance, reliability, observability, scalability, recovery, and maintainability. Its Production Readiness Gate uses PASS, NOT REQUIRED, INCOMPLETE, and BLOCKING classifications.</w:t>
      </w:r>
    </w:p>
    <w:p>
      <w:pPr>
        <w:pStyle w:val="Heading2"/>
        <w:widowControl/>
      </w:pPr>
      <w:r>
        <w:t>1.2 Evidence reviewed</w:t>
      </w:r>
    </w:p>
    <w:p>
      <w:pPr>
        <w:widowControl/>
        <w:numPr>
          <w:ilvl w:val="0"/>
          <w:numId w:val="10"/>
        </w:numPr>
      </w:pPr>
      <w:r>
        <w:t>Complete 20-page AI-SWE-001 blueprint supplied as AI Software Engineer Blueprint v0.1.pdf.</w:t>
      </w:r>
    </w:p>
    <w:p>
      <w:pPr>
        <w:widowControl/>
        <w:numPr>
          <w:ilvl w:val="0"/>
          <w:numId w:val="10"/>
        </w:numPr>
      </w:pPr>
      <w:r>
        <w:t>The supplied U-GETMO frontend repository and its Next.js API routes, components, middleware, endpoint clients, configuration, documentation, and package metadata.</w:t>
      </w:r>
    </w:p>
    <w:p>
      <w:pPr>
        <w:widowControl/>
        <w:numPr>
          <w:ilvl w:val="0"/>
          <w:numId w:val="10"/>
        </w:numPr>
      </w:pPr>
      <w:r>
        <w:t>Production build execution: npm run build - passed and generated 44 routes.</w:t>
      </w:r>
    </w:p>
    <w:p>
      <w:pPr>
        <w:widowControl/>
        <w:numPr>
          <w:ilvl w:val="0"/>
          <w:numId w:val="10"/>
        </w:numPr>
      </w:pPr>
      <w:r>
        <w:t>Configured lint execution: npm run lint - passed without configured warnings or errors.</w:t>
      </w:r>
    </w:p>
    <w:p>
      <w:pPr>
        <w:widowControl/>
        <w:numPr>
          <w:ilvl w:val="0"/>
          <w:numId w:val="10"/>
        </w:numPr>
      </w:pPr>
      <w:r>
        <w:t>Repository scans for tests, CI/CD, secrets, observability, error handling, type safety, and operational artifacts.</w:t>
      </w:r>
    </w:p>
    <w:p>
      <w:pPr>
        <w:pStyle w:val="Heading2"/>
        <w:widowControl/>
      </w:pPr>
      <w:r>
        <w:t>1.3 Evidence boundary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6"/>
          </w:tcPr>
          <w:p>
            <w:pPr>
              <w:spacing w:before="40" w:after="40"/>
            </w:pPr>
            <w:r>
              <w:rPr>
                <w:rFonts w:ascii="Calibri" w:hAnsi="Calibri"/>
                <w:b/>
                <w:color w:val="7A5A00"/>
                <w:sz w:val="22"/>
              </w:rPr>
              <w:t xml:space="preserve">Important limitation: </w:t>
            </w:r>
            <w:r>
              <w:rPr>
                <w:rFonts w:ascii="Calibri" w:hAnsi="Calibri"/>
                <w:color w:val="000000"/>
                <w:sz w:val="22"/>
              </w:rPr>
              <w:t>This workspace is primarily the frontend/BFF repository. The external backend, database, cloud account, payment-provider configuration, DNS, production secrets store, supplier contracts, and deployment platform were not supplied. Capabilities dependent on those systems are marked UNKNOWN or INCOMPLETE rather than assumed to fail. Under AI-SWE-001, unresolved unknowns remain architectural risks and must be closed before approval.</w:t>
            </w:r>
          </w:p>
        </w:tc>
      </w:tr>
    </w:tbl>
    <w:p>
      <w:pPr>
        <w:widowControl/>
        <w:spacing w:after="40"/>
      </w:pPr>
    </w:p>
    <w:p>
      <w:pPr>
        <w:pStyle w:val="Heading2"/>
        <w:widowControl/>
      </w:pPr>
      <w:r>
        <w:t>1.4 Status definitions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9"/>
              </w:rPr>
              <w:t>Status</w:t>
            </w:r>
          </w:p>
        </w:tc>
        <w:tc>
          <w:tcPr>
            <w:tcW w:type="dxa" w:w="75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9"/>
              </w:rPr>
              <w:t>Meaning in this report</w:t>
            </w:r>
          </w:p>
        </w:tc>
      </w:tr>
      <w:tr>
        <w:tc>
          <w:tcPr>
            <w:tcW w:type="dxa" w:w="1800"/>
            <w:shd w:fill="EAF6EE"/>
            <w:tcMar>
              <w:top w:w="100" w:type="dxa"/>
              <w:start w:w="120" w:type="dxa"/>
              <w:bottom w:w="100" w:type="dxa"/>
              <w:end w:w="120" w:type="dxa"/>
            </w:tcMar>
            <w:vAlign w:val="center"/>
          </w:tcPr>
          <w:p>
            <w:pPr>
              <w:spacing w:after="0"/>
              <w:jc w:val="center"/>
            </w:pPr>
            <w:r/>
            <w:r>
              <w:rPr>
                <w:rFonts w:ascii="Calibri" w:hAnsi="Calibri"/>
                <w:b/>
                <w:color w:val="176B3A"/>
                <w:sz w:val="17"/>
              </w:rPr>
              <w:t>PASS</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9"/>
              </w:rPr>
              <w:t>Repository evidence demonstrates the applicable capability at the reviewed scope.</w:t>
            </w:r>
          </w:p>
        </w:tc>
      </w:tr>
      <w:tr>
        <w:tc>
          <w:tcPr>
            <w:tcW w:type="dxa" w:w="1800"/>
            <w:shd w:fill="EAF6EE"/>
            <w:tcMar>
              <w:top w:w="100" w:type="dxa"/>
              <w:start w:w="120" w:type="dxa"/>
              <w:bottom w:w="100" w:type="dxa"/>
              <w:end w:w="120" w:type="dxa"/>
            </w:tcMar>
            <w:vAlign w:val="center"/>
          </w:tcPr>
          <w:p>
            <w:pPr>
              <w:spacing w:after="0"/>
              <w:jc w:val="center"/>
            </w:pPr>
            <w:r/>
            <w:r>
              <w:rPr>
                <w:rFonts w:ascii="Calibri" w:hAnsi="Calibri"/>
                <w:b/>
                <w:color w:val="176B3A"/>
                <w:sz w:val="17"/>
              </w:rPr>
              <w:t>PARTIAL PASS</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9"/>
              </w:rPr>
              <w:t>A sound baseline exists, but production completeness is not established.</w:t>
            </w:r>
          </w:p>
        </w:tc>
      </w:tr>
      <w:tr>
        <w:tc>
          <w:tcPr>
            <w:tcW w:type="dxa" w:w="180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9"/>
              </w:rPr>
              <w:t>Some implementation or evidence exists, but important production requirements remain.</w:t>
            </w:r>
          </w:p>
        </w:tc>
      </w:tr>
      <w:tr>
        <w:tc>
          <w:tcPr>
            <w:tcW w:type="dxa" w:w="18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9"/>
              </w:rPr>
              <w:t>A critical condition prevents production approval until resolved and verified.</w:t>
            </w:r>
          </w:p>
        </w:tc>
      </w:tr>
      <w:tr>
        <w:tc>
          <w:tcPr>
            <w:tcW w:type="dxa" w:w="180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9"/>
              </w:rPr>
              <w:t>Required evidence is outside the supplied materials; it must be resolved, assumed explicitly, or recorded as risk.</w:t>
            </w:r>
          </w:p>
        </w:tc>
      </w:tr>
    </w:tbl>
    <w:p>
      <w:pPr>
        <w:widowControl/>
      </w:pPr>
      <w:r>
        <w:br w:type="page"/>
      </w:r>
    </w:p>
    <w:p>
      <w:pPr>
        <w:pStyle w:val="Heading1"/>
        <w:widowControl/>
      </w:pPr>
      <w:r>
        <w:t>2. System readiness profile</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System</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U-GETMO e-commerce platform</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Current maturity</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Level 1 - MVP</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Target</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Level 2 - Production System</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Primary users</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Customers, business customers, administrators, operations/support users</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Critical workflows</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Authentication, catalog discovery, cart, pricing/coupons, checkout/payment initiation, order management, supplier product synchronization, administrative actions</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Critical data</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Accounts, contact/address data, carts, orders, product/stock/pricing data, uploaded artwork, supplier credentials/tokens, payment references</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Security level</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High - identity, administrative privilege, commercial transactions, third-party credentials, and payment-adjacent workflows</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Expected traffic</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Unknown; must be forecast before sizing and load testing</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Availability target</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Unknown; define customer-facing and business-operational SLOs</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Recovery target</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Unknown; define RPO/RTO for database, objects, orders, and configuration</w:t>
            </w:r>
          </w:p>
        </w:tc>
      </w:tr>
      <w:tr>
        <w:tc>
          <w:tcPr>
            <w:tcW w:type="dxa" w:w="22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9"/>
              </w:rPr>
              <w:t>Architecture status</w:t>
            </w:r>
          </w:p>
        </w:tc>
        <w:tc>
          <w:tcPr>
            <w:tcW w:type="dxa" w:w="7160"/>
            <w:tcMar>
              <w:top w:w="100" w:type="dxa"/>
              <w:start w:w="120" w:type="dxa"/>
              <w:bottom w:w="100" w:type="dxa"/>
              <w:end w:w="120" w:type="dxa"/>
            </w:tcMar>
            <w:vAlign w:val="center"/>
          </w:tcPr>
          <w:p>
            <w:pPr>
              <w:spacing w:before="0" w:after="40" w:line="252" w:lineRule="auto"/>
            </w:pPr>
            <w:r>
              <w:rPr>
                <w:rFonts w:ascii="Calibri" w:hAnsi="Calibri"/>
                <w:b w:val="0"/>
                <w:color w:val="000000"/>
                <w:sz w:val="19"/>
              </w:rPr>
              <w:t>Not ready for production approval; remediation design required</w:t>
            </w:r>
          </w:p>
        </w:tc>
      </w:tr>
    </w:tbl>
    <w:p>
      <w:pPr>
        <w:pStyle w:val="Heading2"/>
        <w:widowControl/>
      </w:pPr>
      <w:r>
        <w:t>2.1 Current technology and functional footprint</w:t>
      </w:r>
    </w:p>
    <w:p>
      <w:pPr>
        <w:widowControl/>
        <w:numPr>
          <w:ilvl w:val="0"/>
          <w:numId w:val="10"/>
        </w:numPr>
      </w:pPr>
      <w:r>
        <w:t>Frontend: Next.js 15 App Router, React 19, TypeScript, Tailwind CSS, Framer Motion, Flowbite React, and Radix UI.</w:t>
      </w:r>
    </w:p>
    <w:p>
      <w:pPr>
        <w:widowControl/>
        <w:numPr>
          <w:ilvl w:val="0"/>
          <w:numId w:val="10"/>
        </w:numPr>
      </w:pPr>
      <w:r>
        <w:t>API communication: Axios/fetch clients to an external backend plus server-side supplier proxy routes.</w:t>
      </w:r>
    </w:p>
    <w:p>
      <w:pPr>
        <w:widowControl/>
        <w:numPr>
          <w:ilvl w:val="0"/>
          <w:numId w:val="10"/>
        </w:numPr>
      </w:pPr>
      <w:r>
        <w:t>Authentication: JWT-based token handling using universal-cookie and jwt-decode.</w:t>
      </w:r>
    </w:p>
    <w:p>
      <w:pPr>
        <w:widowControl/>
        <w:numPr>
          <w:ilvl w:val="0"/>
          <w:numId w:val="10"/>
        </w:numPr>
      </w:pPr>
      <w:r>
        <w:t>Commerce functions: catalog, carts, coupons, orders, stock views, wishlists, branding/artwork flows, and payment generation.</w:t>
      </w:r>
    </w:p>
    <w:p>
      <w:pPr>
        <w:widowControl/>
        <w:numPr>
          <w:ilvl w:val="0"/>
          <w:numId w:val="10"/>
        </w:numPr>
      </w:pPr>
      <w:r>
        <w:t>Administration: dashboards, users, customers, orders, products, stock, coupons, schools, notifications, and development inquiries.</w:t>
      </w:r>
    </w:p>
    <w:p>
      <w:pPr>
        <w:widowControl/>
        <w:numPr>
          <w:ilvl w:val="0"/>
          <w:numId w:val="10"/>
        </w:numPr>
      </w:pPr>
      <w:r>
        <w:t>External dependencies: application backend, Amrod, Parrot Products, Tarsus, object storage, and PayFast-adjacent APIs.</w:t>
      </w:r>
    </w:p>
    <w:p>
      <w:pPr>
        <w:widowControl/>
      </w:pPr>
      <w:r>
        <w:br w:type="page"/>
      </w:r>
    </w:p>
    <w:p>
      <w:pPr>
        <w:pStyle w:val="Heading1"/>
        <w:widowControl/>
      </w:pPr>
      <w:r>
        <w:t>3. Verified repository evidence</w:t>
      </w:r>
    </w:p>
    <w:p>
      <w:pPr>
        <w:widowControl/>
      </w:pPr>
      <w:r>
        <w:t>The following results are directly supported by the supplied workspace and executed validation commands.</w:t>
      </w:r>
    </w:p>
    <w:tbl>
      <w:tblPr>
        <w:tblStyle w:val="TableGrid"/>
        <w:tblW w:type="dxa" w:w="9360"/>
        <w:jc w:val="left"/>
        <w:tblLayout w:type="fixed"/>
        <w:tblLook w:firstColumn="1" w:firstRow="1" w:lastColumn="0" w:lastRow="0" w:noHBand="0" w:noVBand="1" w:val="04A0"/>
        <w:tblInd w:w="120" w:type="dxa"/>
      </w:tblPr>
      <w:tblGrid>
        <w:gridCol w:w="1300"/>
        <w:gridCol w:w="2200"/>
        <w:gridCol w:w="1300"/>
        <w:gridCol w:w="4560"/>
      </w:tblGrid>
      <w:tr>
        <w:trPr>
          <w:tblHeader w:val="true"/>
        </w:trPr>
        <w:tc>
          <w:tcPr>
            <w:tcW w:type="dxa" w:w="13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Check</w:t>
            </w:r>
          </w:p>
        </w:tc>
        <w:tc>
          <w:tcPr>
            <w:tcW w:type="dxa" w:w="22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Method</w:t>
            </w:r>
          </w:p>
        </w:tc>
        <w:tc>
          <w:tcPr>
            <w:tcW w:type="dxa" w:w="13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Result</w:t>
            </w:r>
          </w:p>
        </w:tc>
        <w:tc>
          <w:tcPr>
            <w:tcW w:type="dxa" w:w="45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Observed evidence</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Build</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npm run build</w:t>
            </w:r>
          </w:p>
        </w:tc>
        <w:tc>
          <w:tcPr>
            <w:tcW w:type="dxa" w:w="1300"/>
            <w:shd w:fill="EAF6EE"/>
            <w:tcMar>
              <w:top w:w="100" w:type="dxa"/>
              <w:start w:w="120" w:type="dxa"/>
              <w:bottom w:w="100" w:type="dxa"/>
              <w:end w:w="120" w:type="dxa"/>
            </w:tcMar>
            <w:vAlign w:val="center"/>
          </w:tcPr>
          <w:p>
            <w:pPr>
              <w:spacing w:after="0"/>
              <w:jc w:val="center"/>
            </w:pPr>
            <w:r/>
            <w:r>
              <w:rPr>
                <w:rFonts w:ascii="Calibri" w:hAnsi="Calibri"/>
                <w:b/>
                <w:color w:val="176B3A"/>
                <w:sz w:val="17"/>
              </w:rPr>
              <w:t>PASS</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Optimized Next.js production build completed; 44 routes generated.</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Lint</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npm run lint</w:t>
            </w:r>
          </w:p>
        </w:tc>
        <w:tc>
          <w:tcPr>
            <w:tcW w:type="dxa" w:w="1300"/>
            <w:shd w:fill="EAF6EE"/>
            <w:tcMar>
              <w:top w:w="100" w:type="dxa"/>
              <w:start w:w="120" w:type="dxa"/>
              <w:bottom w:w="100" w:type="dxa"/>
              <w:end w:w="120" w:type="dxa"/>
            </w:tcMar>
            <w:vAlign w:val="center"/>
          </w:tcPr>
          <w:p>
            <w:pPr>
              <w:spacing w:after="0"/>
              <w:jc w:val="center"/>
            </w:pPr>
            <w:r/>
            <w:r>
              <w:rPr>
                <w:rFonts w:ascii="Calibri" w:hAnsi="Calibri"/>
                <w:b/>
                <w:color w:val="176B3A"/>
                <w:sz w:val="17"/>
              </w:rPr>
              <w:t>PASS</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configured ESLint warnings or errors.</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Tests</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Repository file and script scan</w:t>
            </w:r>
          </w:p>
        </w:tc>
        <w:tc>
          <w:tcPr>
            <w:tcW w:type="dxa" w:w="13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test files and no test script found.</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CI/CD</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.github and common pipeline files</w:t>
            </w:r>
          </w:p>
        </w:tc>
        <w:tc>
          <w:tcPr>
            <w:tcW w:type="dxa" w:w="13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CI/CD definition found in the supplied copy.</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Logging</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Source scan</w:t>
            </w:r>
          </w:p>
        </w:tc>
        <w:tc>
          <w:tcPr>
            <w:tcW w:type="dxa" w:w="130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509 console.log/error/warn/debug/info calls found.</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Typing</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Source scan and eslint.config.mjs</w:t>
            </w:r>
          </w:p>
        </w:tc>
        <w:tc>
          <w:tcPr>
            <w:tcW w:type="dxa" w:w="130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416 explicit any uses; the no-explicit-any rule is disabled.</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Client rendering</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App/components scan</w:t>
            </w:r>
          </w:p>
        </w:tc>
        <w:tc>
          <w:tcPr>
            <w:tcW w:type="dxa" w:w="130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111 client components; review server/client boundaries and bundle cost.</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Security</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middleware.ts and API routes</w:t>
            </w:r>
          </w:p>
        </w:tc>
        <w:tc>
          <w:tcPr>
            <w:tcW w:type="dxa" w:w="13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API bypass, unverified JWT claims, and broad proxy routes confirmed.</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Secrets</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endpoints/lib/token-manager.ts</w:t>
            </w:r>
          </w:p>
        </w:tc>
        <w:tc>
          <w:tcPr>
            <w:tcW w:type="dxa" w:w="13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A supplier credential is committed in source; value intentionally omitted from this report.</w:t>
            </w:r>
          </w:p>
        </w:tc>
      </w:tr>
      <w:tr>
        <w:tc>
          <w:tcPr>
            <w:tcW w:type="dxa" w:w="1300"/>
            <w:tcMar>
              <w:top w:w="100" w:type="dxa"/>
              <w:start w:w="120" w:type="dxa"/>
              <w:bottom w:w="100" w:type="dxa"/>
              <w:end w:w="120" w:type="dxa"/>
            </w:tcMar>
            <w:vAlign w:val="center"/>
          </w:tcPr>
          <w:p>
            <w:pPr>
              <w:spacing w:before="0" w:after="40" w:line="252" w:lineRule="auto"/>
            </w:pPr>
            <w:r>
              <w:rPr>
                <w:rFonts w:ascii="Calibri" w:hAnsi="Calibri"/>
                <w:b w:val="0"/>
                <w:color w:val="000000"/>
                <w:sz w:val="17"/>
              </w:rPr>
              <w:t>Operations</w:t>
            </w:r>
          </w:p>
        </w:tc>
        <w:tc>
          <w:tcPr>
            <w:tcW w:type="dxa" w:w="220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Repository artifact scan</w:t>
            </w:r>
          </w:p>
        </w:tc>
        <w:tc>
          <w:tcPr>
            <w:tcW w:type="dxa" w:w="130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456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monitoring, error tracking, recovery runbook, or rollback plan found.</w:t>
            </w:r>
          </w:p>
        </w:tc>
      </w:tr>
    </w:tbl>
    <w:p>
      <w:pPr>
        <w:pStyle w:val="Heading2"/>
        <w:widowControl/>
      </w:pPr>
      <w:r>
        <w:t>3.1 What is working well</w:t>
      </w:r>
    </w:p>
    <w:p>
      <w:pPr>
        <w:widowControl/>
        <w:numPr>
          <w:ilvl w:val="0"/>
          <w:numId w:val="10"/>
        </w:numPr>
      </w:pPr>
      <w:r>
        <w:t>The optimized Next.js production build completes successfully.</w:t>
      </w:r>
    </w:p>
    <w:p>
      <w:pPr>
        <w:widowControl/>
        <w:numPr>
          <w:ilvl w:val="0"/>
          <w:numId w:val="10"/>
        </w:numPr>
      </w:pPr>
      <w:r>
        <w:t>TypeScript strict mode is enabled, providing a useful foundation for safer contracts.</w:t>
      </w:r>
    </w:p>
    <w:p>
      <w:pPr>
        <w:widowControl/>
        <w:numPr>
          <w:ilvl w:val="0"/>
          <w:numId w:val="10"/>
        </w:numPr>
      </w:pPr>
      <w:r>
        <w:t>The App Router structure separates customer, admin, API, component, endpoint, service, hook, interface, and utility concerns.</w:t>
      </w:r>
    </w:p>
    <w:p>
      <w:pPr>
        <w:widowControl/>
        <w:numPr>
          <w:ilvl w:val="0"/>
          <w:numId w:val="10"/>
        </w:numPr>
      </w:pPr>
      <w:r>
        <w:t>Responsive design, client-side validation, loading indicators, empty states, and several error components are already present.</w:t>
      </w:r>
    </w:p>
    <w:p>
      <w:pPr>
        <w:widowControl/>
        <w:numPr>
          <w:ilvl w:val="0"/>
          <w:numId w:val="10"/>
        </w:numPr>
      </w:pPr>
      <w:r>
        <w:t>Third-party supplier secrets are sometimes kept server-side, as demonstrated by the Tarsus environment-variable pattern.</w:t>
      </w:r>
    </w:p>
    <w:p>
      <w:pPr>
        <w:widowControl/>
        <w:numPr>
          <w:ilvl w:val="0"/>
          <w:numId w:val="10"/>
        </w:numPr>
      </w:pPr>
      <w:r>
        <w:t>The codebase is sufficiently structured to improve incrementally; a microservices or Kubernetes rewrite is not justified by current evidence.</w:t>
      </w:r>
    </w:p>
    <w:p>
      <w:pPr>
        <w:pStyle w:val="Heading2"/>
        <w:widowControl/>
      </w:pPr>
      <w:r>
        <w:t>3.2 Why passing build and lint is not enough</w:t>
      </w:r>
    </w:p>
    <w:p>
      <w:pPr>
        <w:widowControl/>
      </w:pPr>
      <w:r>
        <w:t>Build success proves that the application can be compiled and statically generated under the current environment. It does not prove correct authorization, safe payment behavior, supplier resilience, recoverability, or business-rule correctness. Lint success is also weakened because several important rules are disabled, including React Hooks rules, exhaustive dependency checking, unused variables, and explicit-any controls.</w:t>
      </w:r>
    </w:p>
    <w:p>
      <w:pPr>
        <w:widowControl/>
      </w:pPr>
      <w:r>
        <w:br w:type="page"/>
      </w:r>
    </w:p>
    <w:p>
      <w:pPr>
        <w:pStyle w:val="Heading1"/>
        <w:widowControl/>
      </w:pPr>
      <w:r>
        <w:t>4. Blueprint production-readiness gate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before="40" w:after="40"/>
            </w:pPr>
            <w:r>
              <w:rPr>
                <w:rFonts w:ascii="Calibri" w:hAnsi="Calibri"/>
                <w:b/>
                <w:color w:val="9B1C1C"/>
                <w:sz w:val="22"/>
              </w:rPr>
              <w:t xml:space="preserve">Gate result: </w:t>
            </w:r>
            <w:r>
              <w:rPr>
                <w:rFonts w:ascii="Calibri" w:hAnsi="Calibri"/>
                <w:color w:val="000000"/>
                <w:sz w:val="22"/>
              </w:rPr>
              <w:t>Production approval is BLOCKED. Confirmed blockers exist in authentication/authorization, secrets management, API security, automated testing, CI/CD, monitoring/error tracking, rate limiting, restore evidence, and rollback readiness.</w:t>
            </w:r>
          </w:p>
        </w:tc>
      </w:tr>
    </w:tbl>
    <w:p>
      <w:pPr>
        <w:widowControl/>
        <w:spacing w:after="40"/>
      </w:pPr>
    </w:p>
    <w:tbl>
      <w:tblPr>
        <w:tblStyle w:val="TableGrid"/>
        <w:tblW w:type="dxa" w:w="9360"/>
        <w:jc w:val="left"/>
        <w:tblLayout w:type="fixed"/>
        <w:tblLook w:firstColumn="1" w:firstRow="1" w:lastColumn="0" w:lastRow="0" w:noHBand="0" w:noVBand="1" w:val="04A0"/>
        <w:tblInd w:w="120" w:type="dxa"/>
      </w:tblPr>
      <w:tblGrid>
        <w:gridCol w:w="1550"/>
        <w:gridCol w:w="1250"/>
        <w:gridCol w:w="3180"/>
        <w:gridCol w:w="3380"/>
      </w:tblGrid>
      <w:tr>
        <w:trPr>
          <w:tblHeader w:val="true"/>
        </w:trPr>
        <w:tc>
          <w:tcPr>
            <w:tcW w:type="dxa" w:w="155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Capability</w:t>
            </w:r>
          </w:p>
        </w:tc>
        <w:tc>
          <w:tcPr>
            <w:tcW w:type="dxa" w:w="125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Status</w:t>
            </w:r>
          </w:p>
        </w:tc>
        <w:tc>
          <w:tcPr>
            <w:tcW w:type="dxa" w:w="318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Evidence / gap</w:t>
            </w:r>
          </w:p>
        </w:tc>
        <w:tc>
          <w:tcPr>
            <w:tcW w:type="dxa" w:w="338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Required action</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Application architecture</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Clear Next.js feature organization, but API clients, response contracts, cache ownership, and error behavior are inconsistent.</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Define architectural boundaries; standardize service contracts and server/client responsibilities.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 architecture</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Database schema, ownership rules, constraints, migrations, retention, deletion, and audit design are outside this repository.</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Complete a backend/data architecture review and publish the data model and migration strategy.</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Authentication</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JWT claims are decoded without signature verification and the token is stored in a JavaScript-readable cookie.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Use server-set HttpOnly cookies or an equivalent secure session; verify issuer, audience, signature, expiry, and revocation.</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Authorization</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Frontend middleware trusts decoded role claims. API routes bypass middleware. Trusted backend enforcement is not evidenced.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Enforce RBAC/ownership at every API and data boundary; deny by default; test privilege escalation paths.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Input validation</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Several forms validate client input, but API route and backend schema validation is inconsistent or not visible.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Apply server-side schemas to body, path, query, file, and webhook inputs; return consistent validation errors.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Secrets management</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 live-looking supplier credential is embedded directly in source code.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Rotate it immediately, purge history, use managed secrets, restrict access, and add secret scanning.</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API security</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Wildcard supplier proxies accept broad methods without authentication, allowlists, rate limiting, or request-size controls.</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Protect routes; allowlist paths/methods; validate payloads; rate-limit; set timeouts; redact upstream errors.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Database security</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Database roles, encryption, row ownership, tenant boundaries, and privileged access are not available for inspection.</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Document and test least privilege, ownership filters, encryption, audit trails, and administrative access.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Infrastructure</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infrastructure definition, environment topology, network boundary, or managed-service inventory is supplied.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Define production/staging compute, networking, storage, DNS, secret storage, and operational ownership.</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Hosting</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The code suggests a hosted Next.js deployment, but the actual production configuration and service-level expectations were not verified.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Document hosting, regions, availability objectives, TLS, domains, scaling limits, and support model.</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Environment configuration</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The environment example documents only one backend URL while additional server variables are used.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Create a complete typed environment contract with startup validation for development, test, staging, and production.</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HTTPS/security headers</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HTTPS may be supplied by hosting, but HSTS, CSP, framing, MIME, referrer, and permissions policies are not configured here.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Enforce HTTPS and add a tested security-header policy, beginning with CSP reporting before enforcement.</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Version control</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The supplied workspace contains no .git metadata; branch protection and review rules cannot be evaluated.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Use protected branches, required reviews, signed/auditable changes, and controlled release tags.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CI/CD</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pipeline configuration is included.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Run install, typecheck, lint, tests, build, dependency/secret scans, artifact creation, staging deployment, smoke tests, and gated promotion.</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Automated testing</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unit, integration, component, or end-to-end tests were found.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Cover authentication, permissions, pricing, carts, coupons, orders, payments, supplier failure modes, and admin actions.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Database migrations</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migration tooling or release compatibility policy is visible in this frontend workspace.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Adopt forward-compatible migrations, migration testing, backups before risky changes, and rollback/roll-forward procedures.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Logging</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Logging is primarily console-based; the scan found 509 console calls and possible token/user-data logging.</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Use structured logs, severity, redaction, correlation IDs, event taxonomy, retention, and access control.</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Monitoring</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uptime, latency, traffic, error-rate, dependency, queue, or business-transaction monitoring is evident.</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Create service dashboards and alerts tied to SLOs for login, catalog, checkout, payment, and order workflows.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Error tracking</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centralized exception capture, release association, or alert routing is configured.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Add frontend/server error tracking with source maps, PII controls, environments, ownership, and release markers.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Rate limiting/abuse</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rate limiting is evident for authentication, verification, password, or supplier proxy routes.</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Apply endpoint-specific limits, brute-force protection, payload limits, bot controls, and anomaly alerts.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Performance</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The production build succeeds, but route bundles reach about 321 kB and no budgets or load tests are defined.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Set Core Web Vitals and bundle budgets; profile client components; load-test critical APIs and checkout.</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Caching</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Supplier and token caches are process-local; profile data can become stale; invalidation and multi-instance behavior are incomplete.</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Classify cached data, define TTL/invalidation, prevent sensitive caching, and use shared cache only when justified.</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Scalability</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In-memory tokens and response caches create instance-local state and inconsistent behavior under horizontal scaling.</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Make instances stateless or externalize state; document expected load and scaling triggers.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Backups</w:t>
            </w:r>
          </w:p>
        </w:tc>
        <w:tc>
          <w:tcPr>
            <w:tcW w:type="dxa" w:w="1250"/>
            <w:shd w:fill="F4F4F5"/>
            <w:tcMar>
              <w:top w:w="100" w:type="dxa"/>
              <w:start w:w="120" w:type="dxa"/>
              <w:bottom w:w="100" w:type="dxa"/>
              <w:end w:w="120" w:type="dxa"/>
            </w:tcMar>
            <w:vAlign w:val="center"/>
          </w:tcPr>
          <w:p>
            <w:pPr>
              <w:spacing w:after="0"/>
              <w:jc w:val="center"/>
            </w:pPr>
            <w:r/>
            <w:r>
              <w:rPr>
                <w:rFonts w:ascii="Calibri" w:hAnsi="Calibri"/>
                <w:b/>
                <w:color w:val="344054"/>
                <w:sz w:val="17"/>
              </w:rPr>
              <w:t>UNKNOWN</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database or object-storage backup evidence is present.</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Define encrypted automated backups, retention, off-site separation, ownership, monitoring, and periodic restore tests.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Restore procedures</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tested restoration procedure or recovery-time evidence is supplied.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Create and rehearse restore runbooks; record RPO/RTO results and remediation actions.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Availability/recovery</w:t>
            </w:r>
          </w:p>
        </w:tc>
        <w:tc>
          <w:tcPr>
            <w:tcW w:type="dxa" w:w="1250"/>
            <w:shd w:fill="FFF7D6"/>
            <w:tcMar>
              <w:top w:w="100" w:type="dxa"/>
              <w:start w:w="120" w:type="dxa"/>
              <w:bottom w:w="100" w:type="dxa"/>
              <w:end w:w="120" w:type="dxa"/>
            </w:tcMar>
            <w:vAlign w:val="center"/>
          </w:tcPr>
          <w:p>
            <w:pPr>
              <w:spacing w:after="0"/>
              <w:jc w:val="center"/>
            </w:pPr>
            <w:r/>
            <w:r>
              <w:rPr>
                <w:rFonts w:ascii="Calibri" w:hAnsi="Calibri"/>
                <w:b/>
                <w:color w:val="7A5A00"/>
                <w:sz w:val="17"/>
              </w:rPr>
              <w:t>INCOMPLETE</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Supplier calls lack explicit timeouts and resilience policy; no incident or dependency-outage behavior is documented.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Add bounded timeouts, safe retries, degradation rules, health checks, incident response, and dependency playbooks.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Rollback strategy</w:t>
            </w:r>
          </w:p>
        </w:tc>
        <w:tc>
          <w:tcPr>
            <w:tcW w:type="dxa" w:w="1250"/>
            <w:shd w:fill="FDECEC"/>
            <w:tcMar>
              <w:top w:w="100" w:type="dxa"/>
              <w:start w:w="120" w:type="dxa"/>
              <w:bottom w:w="100" w:type="dxa"/>
              <w:end w:w="120" w:type="dxa"/>
            </w:tcMar>
            <w:vAlign w:val="center"/>
          </w:tcPr>
          <w:p>
            <w:pPr>
              <w:spacing w:after="0"/>
              <w:jc w:val="center"/>
            </w:pPr>
            <w:r/>
            <w:r>
              <w:rPr>
                <w:rFonts w:ascii="Calibri" w:hAnsi="Calibri"/>
                <w:b/>
                <w:color w:val="9B1C1C"/>
                <w:sz w:val="17"/>
              </w:rPr>
              <w:t>BLOCKING</w:t>
            </w:r>
          </w:p>
        </w:tc>
        <w:tc>
          <w:tcPr>
            <w:tcW w:type="dxa" w:w="318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deployment rollback, database compatibility, feature flag, or emergency-disable procedure is documented.</w:t>
            </w:r>
          </w:p>
        </w:tc>
        <w:tc>
          <w:tcPr>
            <w:tcW w:type="dxa" w:w="3380"/>
            <w:tcMar>
              <w:top w:w="100" w:type="dxa"/>
              <w:start w:w="120" w:type="dxa"/>
              <w:bottom w:w="100" w:type="dxa"/>
              <w:end w:w="120" w:type="dxa"/>
            </w:tcMar>
            <w:vAlign w:val="center"/>
          </w:tcPr>
          <w:p>
            <w:pPr>
              <w:spacing w:before="0" w:after="40" w:line="252" w:lineRule="auto"/>
            </w:pPr>
            <w:r>
              <w:rPr>
                <w:rFonts w:ascii="Calibri" w:hAnsi="Calibri"/>
                <w:b w:val="0"/>
                <w:color w:val="000000"/>
                <w:sz w:val="17"/>
              </w:rPr>
              <w:t>Implement immutable releases, rapid rollback, backward-compatible schema changes, and kill switches for risky integrations.</w:t>
            </w:r>
          </w:p>
        </w:tc>
      </w:tr>
    </w:tbl>
    <w:p>
      <w:pPr>
        <w:widowControl/>
      </w:pPr>
      <w:r>
        <w:br w:type="page"/>
      </w:r>
    </w:p>
    <w:p>
      <w:pPr>
        <w:pStyle w:val="Heading1"/>
        <w:widowControl/>
      </w:pPr>
      <w:r>
        <w:t>5. Critical blockers and required changes</w:t>
      </w:r>
    </w:p>
    <w:p>
      <w:pPr>
        <w:pStyle w:val="Heading2"/>
        <w:widowControl/>
      </w:pPr>
      <w:r>
        <w:t>5.1 Exposed supplier credential</w:t>
      </w:r>
    </w:p>
    <w:p>
      <w:pPr>
        <w:widowControl/>
        <w:numPr>
          <w:ilvl w:val="0"/>
          <w:numId w:val="10"/>
        </w:numPr>
      </w:pPr>
      <w:r>
        <w:rPr>
          <w:b/>
        </w:rPr>
        <w:t>Confirmed issue:</w:t>
      </w:r>
      <w:r>
        <w:t xml:space="preserve"> a supplier username and password are hard-coded in endpoints/lib/token-manager.ts. The values are intentionally not reproduced here.</w:t>
      </w:r>
    </w:p>
    <w:p>
      <w:pPr>
        <w:widowControl/>
        <w:numPr>
          <w:ilvl w:val="0"/>
          <w:numId w:val="10"/>
        </w:numPr>
      </w:pPr>
      <w:r>
        <w:rPr>
          <w:b/>
        </w:rPr>
        <w:t>Risk:</w:t>
      </w:r>
      <w:r>
        <w:t xml:space="preserve"> unauthorized supplier API use, data extraction, quota/cost abuse, service suspension, and credential reuse exposure.</w:t>
      </w:r>
    </w:p>
    <w:p>
      <w:pPr>
        <w:widowControl/>
        <w:numPr>
          <w:ilvl w:val="0"/>
          <w:numId w:val="10"/>
        </w:numPr>
      </w:pPr>
      <w:r>
        <w:rPr>
          <w:b/>
        </w:rPr>
        <w:t>Immediate action:</w:t>
      </w:r>
      <w:r>
        <w:t xml:space="preserve"> rotate or revoke the credential, record the incident decision, inspect supplier access logs, and temporarily restrict affected routes.</w:t>
      </w:r>
    </w:p>
    <w:p>
      <w:pPr>
        <w:widowControl/>
        <w:numPr>
          <w:ilvl w:val="0"/>
          <w:numId w:val="10"/>
        </w:numPr>
      </w:pPr>
      <w:r>
        <w:rPr>
          <w:b/>
        </w:rPr>
        <w:t>Permanent action:</w:t>
      </w:r>
      <w:r>
        <w:t xml:space="preserve"> store the replacement in a managed secrets service, scope it to minimum capability, rotate automatically where supported, and enable secret scanning in pre-commit and CI.</w:t>
      </w:r>
    </w:p>
    <w:p>
      <w:pPr>
        <w:widowControl/>
        <w:numPr>
          <w:ilvl w:val="0"/>
          <w:numId w:val="10"/>
        </w:numPr>
      </w:pPr>
      <w:r>
        <w:rPr>
          <w:b/>
        </w:rPr>
        <w:t>Verification:</w:t>
      </w:r>
      <w:r>
        <w:t xml:space="preserve"> prove that the old credential no longer works and that no credential remains in current files, artifacts, logs, or repository history.</w:t>
      </w:r>
    </w:p>
    <w:p>
      <w:pPr>
        <w:pStyle w:val="Heading2"/>
        <w:widowControl/>
      </w:pPr>
      <w:r>
        <w:t>5.2 Unverified JWT authorization</w:t>
      </w:r>
    </w:p>
    <w:p>
      <w:pPr>
        <w:widowControl/>
        <w:numPr>
          <w:ilvl w:val="0"/>
          <w:numId w:val="10"/>
        </w:numPr>
      </w:pPr>
      <w:r>
        <w:rPr>
          <w:b/>
        </w:rPr>
        <w:t>Confirmed issue:</w:t>
      </w:r>
      <w:r>
        <w:t xml:space="preserve"> middleware decodes JWT claims with jwtDecode and uses the role claim for route decisions; decoding does not verify signature authenticity.</w:t>
      </w:r>
    </w:p>
    <w:p>
      <w:pPr>
        <w:widowControl/>
        <w:numPr>
          <w:ilvl w:val="0"/>
          <w:numId w:val="10"/>
        </w:numPr>
      </w:pPr>
      <w:r>
        <w:rPr>
          <w:b/>
        </w:rPr>
        <w:t>Risk:</w:t>
      </w:r>
      <w:r>
        <w:t xml:space="preserve"> a user-controlled token can claim an untrusted role. Frontend route checks are not a trusted authorization boundary.</w:t>
      </w:r>
    </w:p>
    <w:p>
      <w:pPr>
        <w:widowControl/>
        <w:numPr>
          <w:ilvl w:val="0"/>
          <w:numId w:val="10"/>
        </w:numPr>
      </w:pPr>
      <w:r>
        <w:rPr>
          <w:b/>
        </w:rPr>
        <w:t>Required design:</w:t>
      </w:r>
      <w:r>
        <w:t xml:space="preserve"> authenticate sessions server-side; verify signature, algorithm, issuer, audience, expiry, not-before, and revocation/session state. Use server-set HttpOnly, Secure, SameSite cookies or another threat-modeled session mechanism.</w:t>
      </w:r>
    </w:p>
    <w:p>
      <w:pPr>
        <w:widowControl/>
        <w:numPr>
          <w:ilvl w:val="0"/>
          <w:numId w:val="10"/>
        </w:numPr>
      </w:pPr>
      <w:r>
        <w:rPr>
          <w:b/>
        </w:rPr>
        <w:t>Authorization requirement:</w:t>
      </w:r>
      <w:r>
        <w:t xml:space="preserve"> every backend operation must enforce role, ownership, and business rules independently of the visible UI.</w:t>
      </w:r>
    </w:p>
    <w:p>
      <w:pPr>
        <w:widowControl/>
        <w:numPr>
          <w:ilvl w:val="0"/>
          <w:numId w:val="10"/>
        </w:numPr>
      </w:pPr>
      <w:r>
        <w:rPr>
          <w:b/>
        </w:rPr>
        <w:t>Verification:</w:t>
      </w:r>
      <w:r>
        <w:t xml:space="preserve"> automated negative tests must demonstrate rejection of forged, expired, wrong-audience, cross-user, and cross-role requests.</w:t>
      </w:r>
    </w:p>
    <w:p>
      <w:pPr>
        <w:pStyle w:val="Heading2"/>
        <w:widowControl/>
      </w:pPr>
      <w:r>
        <w:t>5.3 Public wildcard supplier proxies</w:t>
      </w:r>
    </w:p>
    <w:p>
      <w:pPr>
        <w:widowControl/>
        <w:numPr>
          <w:ilvl w:val="0"/>
          <w:numId w:val="10"/>
        </w:numPr>
      </w:pPr>
      <w:r>
        <w:rPr>
          <w:b/>
        </w:rPr>
        <w:t>Confirmed issue:</w:t>
      </w:r>
      <w:r>
        <w:t xml:space="preserve"> middleware allows all /api routes, while supplier proxy handlers accept user-selected paths and broad HTTP methods using server-side credentials.</w:t>
      </w:r>
    </w:p>
    <w:p>
      <w:pPr>
        <w:widowControl/>
        <w:numPr>
          <w:ilvl w:val="0"/>
          <w:numId w:val="10"/>
        </w:numPr>
      </w:pPr>
      <w:r>
        <w:rPr>
          <w:b/>
        </w:rPr>
        <w:t>Risk:</w:t>
      </w:r>
      <w:r>
        <w:t xml:space="preserve"> unauthorized vendor operations, data scraping, quota exhaustion, malicious payload forwarding, and amplified dependency failures.</w:t>
      </w:r>
    </w:p>
    <w:p>
      <w:pPr>
        <w:widowControl/>
        <w:numPr>
          <w:ilvl w:val="0"/>
          <w:numId w:val="10"/>
        </w:numPr>
      </w:pPr>
      <w:r>
        <w:rPr>
          <w:b/>
        </w:rPr>
        <w:t>Required design:</w:t>
      </w:r>
      <w:r>
        <w:t xml:space="preserve"> replace open proxy behavior with explicit product-specific endpoints and allowlisted upstream paths/methods. Authenticate and authorize every non-public operation.</w:t>
      </w:r>
    </w:p>
    <w:p>
      <w:pPr>
        <w:widowControl/>
        <w:numPr>
          <w:ilvl w:val="0"/>
          <w:numId w:val="10"/>
        </w:numPr>
      </w:pPr>
      <w:r>
        <w:rPr>
          <w:b/>
        </w:rPr>
        <w:t>Controls:</w:t>
      </w:r>
      <w:r>
        <w:t xml:space="preserve"> schema validation, payload/file limits, content-type enforcement, rate limits, timeouts, safe retries, output filtering, caching policy, audit logging, and sanitized errors.</w:t>
      </w:r>
    </w:p>
    <w:p>
      <w:pPr>
        <w:widowControl/>
        <w:numPr>
          <w:ilvl w:val="0"/>
          <w:numId w:val="10"/>
        </w:numPr>
      </w:pPr>
      <w:r>
        <w:rPr>
          <w:b/>
        </w:rPr>
        <w:t>Verification:</w:t>
      </w:r>
      <w:r>
        <w:t xml:space="preserve"> route inventory and abuse tests must prove that unknown paths, methods, large payloads, and unauthenticated writes are denied.</w:t>
      </w:r>
    </w:p>
    <w:p>
      <w:pPr>
        <w:pStyle w:val="Heading2"/>
        <w:widowControl/>
      </w:pPr>
      <w:r>
        <w:t>5.4 No automated tests or controlled release pipeline</w:t>
      </w:r>
    </w:p>
    <w:p>
      <w:pPr>
        <w:widowControl/>
        <w:numPr>
          <w:ilvl w:val="0"/>
          <w:numId w:val="10"/>
        </w:numPr>
      </w:pPr>
      <w:r>
        <w:rPr>
          <w:b/>
        </w:rPr>
        <w:t>Confirmed issue:</w:t>
      </w:r>
      <w:r>
        <w:t xml:space="preserve"> no test files or test command were found, and no CI/CD definition is supplied.</w:t>
      </w:r>
    </w:p>
    <w:p>
      <w:pPr>
        <w:widowControl/>
        <w:numPr>
          <w:ilvl w:val="0"/>
          <w:numId w:val="10"/>
        </w:numPr>
      </w:pPr>
      <w:r>
        <w:rPr>
          <w:b/>
        </w:rPr>
        <w:t>Risk:</w:t>
      </w:r>
      <w:r>
        <w:t xml:space="preserve"> regressions in authentication, pricing, cart merging, checkout, payments, order state, stock, or administration can reach users undetected.</w:t>
      </w:r>
    </w:p>
    <w:p>
      <w:pPr>
        <w:widowControl/>
        <w:numPr>
          <w:ilvl w:val="0"/>
          <w:numId w:val="10"/>
        </w:numPr>
      </w:pPr>
      <w:r>
        <w:rPr>
          <w:b/>
        </w:rPr>
        <w:t>Required design:</w:t>
      </w:r>
      <w:r>
        <w:t xml:space="preserve"> establish unit, integration, contract, component, and end-to-end coverage appropriate to risk. Make build, typecheck, lint, tests, and security checks required merge gates.</w:t>
      </w:r>
    </w:p>
    <w:p>
      <w:pPr>
        <w:widowControl/>
        <w:numPr>
          <w:ilvl w:val="0"/>
          <w:numId w:val="10"/>
        </w:numPr>
      </w:pPr>
      <w:r>
        <w:rPr>
          <w:b/>
        </w:rPr>
        <w:t>Verification:</w:t>
      </w:r>
      <w:r>
        <w:t xml:space="preserve"> every release must be reproducible from a clean environment and promoted through staging with smoke tests and recorded approvals.</w:t>
      </w:r>
    </w:p>
    <w:p>
      <w:pPr>
        <w:pStyle w:val="Heading2"/>
        <w:widowControl/>
      </w:pPr>
      <w:r>
        <w:t>5.5 No operational detection and diagnosis</w:t>
      </w:r>
    </w:p>
    <w:p>
      <w:pPr>
        <w:widowControl/>
        <w:numPr>
          <w:ilvl w:val="0"/>
          <w:numId w:val="10"/>
        </w:numPr>
      </w:pPr>
      <w:r>
        <w:rPr>
          <w:b/>
        </w:rPr>
        <w:t>Confirmed issue:</w:t>
      </w:r>
      <w:r>
        <w:t xml:space="preserve"> logging is console-based and no centralized monitoring or error-tracking integration is present.</w:t>
      </w:r>
    </w:p>
    <w:p>
      <w:pPr>
        <w:widowControl/>
        <w:numPr>
          <w:ilvl w:val="0"/>
          <w:numId w:val="10"/>
        </w:numPr>
      </w:pPr>
      <w:r>
        <w:rPr>
          <w:b/>
        </w:rPr>
        <w:t>Risk:</w:t>
      </w:r>
      <w:r>
        <w:t xml:space="preserve"> payment, checkout, supplier, login, or order failures may remain invisible until customer complaints; sensitive data may leak into logs.</w:t>
      </w:r>
    </w:p>
    <w:p>
      <w:pPr>
        <w:widowControl/>
        <w:numPr>
          <w:ilvl w:val="0"/>
          <w:numId w:val="10"/>
        </w:numPr>
      </w:pPr>
      <w:r>
        <w:rPr>
          <w:b/>
        </w:rPr>
        <w:t>Required design:</w:t>
      </w:r>
      <w:r>
        <w:t xml:space="preserve"> structured and redacted logs, request correlation, error tracking, metrics, dashboards, release markers, SLOs, alerts, and audit events.</w:t>
      </w:r>
    </w:p>
    <w:p>
      <w:pPr>
        <w:widowControl/>
        <w:numPr>
          <w:ilvl w:val="0"/>
          <w:numId w:val="10"/>
        </w:numPr>
      </w:pPr>
      <w:r>
        <w:rPr>
          <w:b/>
        </w:rPr>
        <w:t>Verification:</w:t>
      </w:r>
      <w:r>
        <w:t xml:space="preserve"> conduct alert tests and trace a synthetic order from login through payment initiation and order status using correlation identifiers.</w:t>
      </w:r>
    </w:p>
    <w:p>
      <w:pPr>
        <w:pStyle w:val="Heading2"/>
        <w:widowControl/>
      </w:pPr>
      <w:r>
        <w:t>5.6 Recovery and rollback are unproven</w:t>
      </w:r>
    </w:p>
    <w:p>
      <w:pPr>
        <w:widowControl/>
        <w:numPr>
          <w:ilvl w:val="0"/>
          <w:numId w:val="10"/>
        </w:numPr>
      </w:pPr>
      <w:r>
        <w:rPr>
          <w:b/>
        </w:rPr>
        <w:t>Confirmed gap:</w:t>
      </w:r>
      <w:r>
        <w:t xml:space="preserve"> no backup evidence, restoration test, incident runbook, rollback procedure, or RPO/RTO target is supplied.</w:t>
      </w:r>
    </w:p>
    <w:p>
      <w:pPr>
        <w:widowControl/>
        <w:numPr>
          <w:ilvl w:val="0"/>
          <w:numId w:val="10"/>
        </w:numPr>
      </w:pPr>
      <w:r>
        <w:rPr>
          <w:b/>
        </w:rPr>
        <w:t>Risk:</w:t>
      </w:r>
      <w:r>
        <w:t xml:space="preserve"> failed deployments, accidental deletion, corruption, supplier outages, or payment/order inconsistencies could cause extended loss or downtime.</w:t>
      </w:r>
    </w:p>
    <w:p>
      <w:pPr>
        <w:widowControl/>
        <w:numPr>
          <w:ilvl w:val="0"/>
          <w:numId w:val="10"/>
        </w:numPr>
      </w:pPr>
      <w:r>
        <w:rPr>
          <w:b/>
        </w:rPr>
        <w:t>Required design:</w:t>
      </w:r>
      <w:r>
        <w:t xml:space="preserve"> automated monitored backups, restoration procedures, backward-compatible migrations, immutable releases, deployment rollback, feature flags/kill switches, and incident ownership.</w:t>
      </w:r>
    </w:p>
    <w:p>
      <w:pPr>
        <w:widowControl/>
        <w:numPr>
          <w:ilvl w:val="0"/>
          <w:numId w:val="10"/>
        </w:numPr>
      </w:pPr>
      <w:r>
        <w:rPr>
          <w:b/>
        </w:rPr>
        <w:t>Verification:</w:t>
      </w:r>
      <w:r>
        <w:t xml:space="preserve"> execute and record a restore drill and a failed-deployment rollback drill in a production-like environment.</w:t>
      </w:r>
    </w:p>
    <w:p>
      <w:pPr>
        <w:widowControl/>
      </w:pPr>
      <w:r>
        <w:br w:type="page"/>
      </w:r>
    </w:p>
    <w:p>
      <w:pPr>
        <w:pStyle w:val="Heading1"/>
        <w:widowControl/>
      </w:pPr>
      <w:r>
        <w:t>6. Frontend and application engineering gaps</w:t>
      </w:r>
    </w:p>
    <w:p>
      <w:pPr>
        <w:pStyle w:val="Heading2"/>
        <w:widowControl/>
      </w:pPr>
      <w:r>
        <w:t>6.1 State, caching, and consistency</w:t>
      </w:r>
    </w:p>
    <w:p>
      <w:pPr>
        <w:widowControl/>
        <w:numPr>
          <w:ilvl w:val="0"/>
          <w:numId w:val="10"/>
        </w:numPr>
      </w:pPr>
      <w:r>
        <w:t>Profile editing can trust localStorage indefinitely and return without refreshing the server record.</w:t>
      </w:r>
    </w:p>
    <w:p>
      <w:pPr>
        <w:widowControl/>
        <w:numPr>
          <w:ilvl w:val="0"/>
          <w:numId w:val="10"/>
        </w:numPr>
      </w:pPr>
      <w:r>
        <w:t>Address changes do not consistently invalidate cached profile data.</w:t>
      </w:r>
    </w:p>
    <w:p>
      <w:pPr>
        <w:widowControl/>
        <w:numPr>
          <w:ilvl w:val="0"/>
          <w:numId w:val="10"/>
        </w:numPr>
      </w:pPr>
      <w:r>
        <w:t>Supplier and authentication token caches are stored in process memory, causing inconsistent behavior across server instances.</w:t>
      </w:r>
    </w:p>
    <w:p>
      <w:pPr>
        <w:widowControl/>
        <w:numPr>
          <w:ilvl w:val="0"/>
          <w:numId w:val="10"/>
        </w:numPr>
      </w:pPr>
      <w:r>
        <w:t>Define cache ownership, classification, TTL, invalidation, sensitive-data rules, and multi-instance behavior before optimizing further.</w:t>
      </w:r>
    </w:p>
    <w:p>
      <w:pPr>
        <w:pStyle w:val="Heading2"/>
        <w:widowControl/>
      </w:pPr>
      <w:r>
        <w:t>6.2 API communication and failure semantics</w:t>
      </w:r>
    </w:p>
    <w:p>
      <w:pPr>
        <w:widowControl/>
        <w:numPr>
          <w:ilvl w:val="0"/>
          <w:numId w:val="10"/>
        </w:numPr>
      </w:pPr>
      <w:r>
        <w:t>Axios and fetch helpers return different shapes and sometimes return error objects as ordinary success values.</w:t>
      </w:r>
    </w:p>
    <w:p>
      <w:pPr>
        <w:widowControl/>
        <w:numPr>
          <w:ilvl w:val="0"/>
          <w:numId w:val="10"/>
        </w:numPr>
      </w:pPr>
      <w:r>
        <w:t>Explicit request timeouts, cancellation, retry classification, idempotency behavior, and error normalization are not consistently implemented.</w:t>
      </w:r>
    </w:p>
    <w:p>
      <w:pPr>
        <w:widowControl/>
        <w:numPr>
          <w:ilvl w:val="0"/>
          <w:numId w:val="10"/>
        </w:numPr>
      </w:pPr>
      <w:r>
        <w:t>Adopt a typed API envelope and a single error taxonomy covering validation, unauthenticated, forbidden, conflict, rate-limited, dependency, and unexpected failures.</w:t>
      </w:r>
    </w:p>
    <w:p>
      <w:pPr>
        <w:widowControl/>
        <w:numPr>
          <w:ilvl w:val="0"/>
          <w:numId w:val="10"/>
        </w:numPr>
      </w:pPr>
      <w:r>
        <w:t>Only retry safe or explicitly idempotent operations with bounded exponential backoff and jitter.</w:t>
      </w:r>
    </w:p>
    <w:p>
      <w:pPr>
        <w:pStyle w:val="Heading2"/>
        <w:widowControl/>
      </w:pPr>
      <w:r>
        <w:t>6.3 User-visible states and accessibility</w:t>
      </w:r>
    </w:p>
    <w:p>
      <w:pPr>
        <w:widowControl/>
        <w:numPr>
          <w:ilvl w:val="0"/>
          <w:numId w:val="10"/>
        </w:numPr>
      </w:pPr>
      <w:r>
        <w:t>Several workflows handle happy-path loading but can remain on indefinite spinners after authentication or fetch failures.</w:t>
      </w:r>
    </w:p>
    <w:p>
      <w:pPr>
        <w:widowControl/>
        <w:numPr>
          <w:ilvl w:val="0"/>
          <w:numId w:val="10"/>
        </w:numPr>
      </w:pPr>
      <w:r>
        <w:t>Some visible controls have no implementation, including profile-image and address-deletion behavior.</w:t>
      </w:r>
    </w:p>
    <w:p>
      <w:pPr>
        <w:widowControl/>
        <w:numPr>
          <w:ilvl w:val="0"/>
          <w:numId w:val="10"/>
        </w:numPr>
      </w:pPr>
      <w:r>
        <w:t>Perform WCAG-oriented keyboard, focus, form-label, error-announcement, contrast, reduced-motion, and screen-reader testing.</w:t>
      </w:r>
    </w:p>
    <w:p>
      <w:pPr>
        <w:widowControl/>
        <w:numPr>
          <w:ilvl w:val="0"/>
          <w:numId w:val="10"/>
        </w:numPr>
      </w:pPr>
      <w:r>
        <w:t>Every significant operation must explicitly cover loading, success, empty, validation, unauthorized, forbidden, network, server, and unexpected outcomes.</w:t>
      </w:r>
    </w:p>
    <w:p>
      <w:pPr>
        <w:pStyle w:val="Heading2"/>
        <w:widowControl/>
      </w:pPr>
      <w:r>
        <w:t>6.4 Type safety and maintainability</w:t>
      </w:r>
    </w:p>
    <w:p>
      <w:pPr>
        <w:widowControl/>
        <w:numPr>
          <w:ilvl w:val="0"/>
          <w:numId w:val="10"/>
        </w:numPr>
      </w:pPr>
      <w:r>
        <w:t>The source scan found 416 explicit any uses, and lint rules that would expose Hooks and typing defects are disabled.</w:t>
      </w:r>
    </w:p>
    <w:p>
      <w:pPr>
        <w:widowControl/>
        <w:numPr>
          <w:ilvl w:val="0"/>
          <w:numId w:val="10"/>
        </w:numPr>
      </w:pPr>
      <w:r>
        <w:t>Introduce domain DTOs, discriminated API results, shared validation schemas, and typed environment configuration.</w:t>
      </w:r>
    </w:p>
    <w:p>
      <w:pPr>
        <w:widowControl/>
        <w:numPr>
          <w:ilvl w:val="0"/>
          <w:numId w:val="10"/>
        </w:numPr>
      </w:pPr>
      <w:r>
        <w:t>Re-enable rules incrementally with a measured baseline rather than a single disruptive cleanup.</w:t>
      </w:r>
    </w:p>
    <w:p>
      <w:pPr>
        <w:widowControl/>
        <w:numPr>
          <w:ilvl w:val="0"/>
          <w:numId w:val="10"/>
        </w:numPr>
      </w:pPr>
      <w:r>
        <w:t>Define code ownership, pull-request templates, architecture decisions, and dependency update policy.</w:t>
      </w:r>
    </w:p>
    <w:p>
      <w:pPr>
        <w:widowControl/>
      </w:pPr>
      <w:r>
        <w:br w:type="page"/>
      </w:r>
    </w:p>
    <w:p>
      <w:pPr>
        <w:pStyle w:val="Heading1"/>
        <w:widowControl/>
      </w:pPr>
      <w:r>
        <w:t>7. Target 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before="40" w:after="40"/>
            </w:pPr>
            <w:r>
              <w:rPr>
                <w:rFonts w:ascii="Calibri" w:hAnsi="Calibri"/>
                <w:b/>
                <w:color w:val="0B2545"/>
                <w:sz w:val="22"/>
              </w:rPr>
              <w:t xml:space="preserve">Architecture principle: </w:t>
            </w:r>
            <w:r>
              <w:rPr>
                <w:rFonts w:ascii="Calibri" w:hAnsi="Calibri"/>
                <w:color w:val="000000"/>
                <w:sz w:val="22"/>
              </w:rPr>
              <w:t>Retain a modular monolith/BFF approach unless measured scale or organizational constraints justify more complexity. The immediate problem is trustworthy boundaries and operations, not lack of microservices.</w:t>
            </w:r>
          </w:p>
        </w:tc>
      </w:tr>
    </w:tbl>
    <w:p>
      <w:pPr>
        <w:widowControl/>
        <w:spacing w:after="40"/>
      </w:pPr>
    </w:p>
    <w:tbl>
      <w:tblPr>
        <w:tblStyle w:val="TableGrid"/>
        <w:tblW w:type="dxa" w:w="9360"/>
        <w:jc w:val="left"/>
        <w:tblLayout w:type="fixed"/>
        <w:tblLook w:firstColumn="1" w:firstRow="1" w:lastColumn="0" w:lastRow="0" w:noHBand="0" w:noVBand="1" w:val="04A0"/>
        <w:tblInd w:w="120" w:type="dxa"/>
      </w:tblPr>
      <w:tblGrid>
        <w:gridCol w:w="1550"/>
        <w:gridCol w:w="2600"/>
        <w:gridCol w:w="5210"/>
      </w:tblGrid>
      <w:tr>
        <w:trPr>
          <w:tblHeader w:val="true"/>
        </w:trPr>
        <w:tc>
          <w:tcPr>
            <w:tcW w:type="dxa" w:w="155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Layer</w:t>
            </w:r>
          </w:p>
        </w:tc>
        <w:tc>
          <w:tcPr>
            <w:tcW w:type="dxa" w:w="26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Production component</w:t>
            </w:r>
          </w:p>
        </w:tc>
        <w:tc>
          <w:tcPr>
            <w:tcW w:type="dxa" w:w="521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Primary responsibility</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Web application</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Next.js customer/admin UI</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Render product/customer/admin experiences; never act as the sole authorization boundary.</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Edge/platform</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CDN, WAF, TLS, security headers</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Terminate HTTPS, protect common attacks, apply safe caching, route traffic, and expose health signals.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BFF/API routes</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Narrow application-specific server endpoints</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Verify session, validate input, enforce route policy, hide supplier credentials, normalize errors, and attach correlation IDs.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Backend application</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Controllers -&gt; services -&gt; domain -&gt; persistence</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Enforce business rules, RBAC, ownership, pricing, stock, order transitions, idempotency, and audit events.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Data layer</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Relational database plus object storage</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Use constraints, transactions, indexes, migrations, encryption, retention, backups, and ownership filters.</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Payments</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Provider integration and webhook processor</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Server-authoritative amounts, verified callbacks, idempotent state changes, reconciliation, refund handling, and audit trail.</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Supplier integrations</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Explicit adapters/jobs</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Isolate vendor contracts, rate limits, caching, timeouts, retries, circuit/degradation policy, and data normalization.</w:t>
            </w:r>
          </w:p>
        </w:tc>
      </w:tr>
      <w:tr>
        <w:tc>
          <w:tcPr>
            <w:tcW w:type="dxa" w:w="1550"/>
            <w:tcMar>
              <w:top w:w="100" w:type="dxa"/>
              <w:start w:w="120" w:type="dxa"/>
              <w:bottom w:w="100" w:type="dxa"/>
              <w:end w:w="120" w:type="dxa"/>
            </w:tcMar>
            <w:vAlign w:val="center"/>
          </w:tcPr>
          <w:p>
            <w:pPr>
              <w:spacing w:before="0" w:after="40" w:line="252" w:lineRule="auto"/>
            </w:pPr>
            <w:r>
              <w:rPr>
                <w:rFonts w:ascii="Calibri" w:hAnsi="Calibri"/>
                <w:b w:val="0"/>
                <w:color w:val="000000"/>
                <w:sz w:val="17"/>
              </w:rPr>
              <w:t>Operations</w:t>
            </w:r>
          </w:p>
        </w:tc>
        <w:tc>
          <w:tcPr>
            <w:tcW w:type="dxa" w:w="2600"/>
            <w:tcMar>
              <w:top w:w="100" w:type="dxa"/>
              <w:start w:w="120" w:type="dxa"/>
              <w:bottom w:w="100" w:type="dxa"/>
              <w:end w:w="120" w:type="dxa"/>
            </w:tcMar>
            <w:vAlign w:val="center"/>
          </w:tcPr>
          <w:p>
            <w:pPr>
              <w:spacing w:before="0" w:after="40" w:line="252" w:lineRule="auto"/>
            </w:pPr>
            <w:r>
              <w:rPr>
                <w:rFonts w:ascii="Calibri" w:hAnsi="Calibri"/>
                <w:b w:val="0"/>
                <w:color w:val="000000"/>
                <w:sz w:val="17"/>
              </w:rPr>
              <w:t>Logs, metrics, traces, error tracking, alerts</w:t>
            </w:r>
          </w:p>
        </w:tc>
        <w:tc>
          <w:tcPr>
            <w:tcW w:type="dxa" w:w="5210"/>
            <w:tcMar>
              <w:top w:w="100" w:type="dxa"/>
              <w:start w:w="120" w:type="dxa"/>
              <w:bottom w:w="100" w:type="dxa"/>
              <w:end w:w="120" w:type="dxa"/>
            </w:tcMar>
            <w:vAlign w:val="center"/>
          </w:tcPr>
          <w:p>
            <w:pPr>
              <w:spacing w:before="0" w:after="40" w:line="252" w:lineRule="auto"/>
            </w:pPr>
            <w:r>
              <w:rPr>
                <w:rFonts w:ascii="Calibri" w:hAnsi="Calibri"/>
                <w:b w:val="0"/>
                <w:color w:val="000000"/>
                <w:sz w:val="17"/>
              </w:rPr>
              <w:t>Detect failures, correlate customer journeys, measure SLOs, audit privileged changes, and support incident response.</w:t>
            </w:r>
          </w:p>
        </w:tc>
      </w:tr>
    </w:tbl>
    <w:p>
      <w:pPr>
        <w:pStyle w:val="Heading2"/>
        <w:widowControl/>
      </w:pPr>
      <w:r>
        <w:t>7.1 Environment model</w:t>
      </w:r>
    </w:p>
    <w:p>
      <w:pPr>
        <w:widowControl/>
        <w:numPr>
          <w:ilvl w:val="0"/>
          <w:numId w:val="10"/>
        </w:numPr>
      </w:pPr>
      <w:r>
        <w:t>Development: local services or safe sandboxes; synthetic/non-production data; developer-oriented diagnostics.</w:t>
      </w:r>
    </w:p>
    <w:p>
      <w:pPr>
        <w:widowControl/>
        <w:numPr>
          <w:ilvl w:val="0"/>
          <w:numId w:val="10"/>
        </w:numPr>
      </w:pPr>
      <w:r>
        <w:t>Automated test: ephemeral or isolated services; deterministic fixtures; no live supplier/payment mutations.</w:t>
      </w:r>
    </w:p>
    <w:p>
      <w:pPr>
        <w:widowControl/>
        <w:numPr>
          <w:ilvl w:val="0"/>
          <w:numId w:val="10"/>
        </w:numPr>
      </w:pPr>
      <w:r>
        <w:t>Staging: production-like configuration and security; sandbox integrations; migration, smoke, load, restore, and rollback validation.</w:t>
      </w:r>
    </w:p>
    <w:p>
      <w:pPr>
        <w:widowControl/>
        <w:numPr>
          <w:ilvl w:val="0"/>
          <w:numId w:val="10"/>
        </w:numPr>
      </w:pPr>
      <w:r>
        <w:t>Production: managed secrets, restricted access, hardened headers/networking, monitored backups, audited changes, and controlled releases.</w:t>
      </w:r>
    </w:p>
    <w:p>
      <w:pPr>
        <w:widowControl/>
      </w:pPr>
      <w:r>
        <w:br w:type="page"/>
      </w:r>
    </w:p>
    <w:p>
      <w:pPr>
        <w:pStyle w:val="Heading1"/>
        <w:widowControl/>
      </w:pPr>
      <w:r>
        <w:t>8. Security baseline for production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Control area</w:t>
            </w:r>
          </w:p>
        </w:tc>
        <w:tc>
          <w:tcPr>
            <w:tcW w:type="dxa" w:w="75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Minimum production requirement</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Identity</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Verified sessions/tokens; secure cookie flags; session expiry and revocation; MFA for administrators; account recovery controls.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Authorization</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Backend RBAC plus resource ownership; deny by default; privileged action re-authentication where appropriate.</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Secrets</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Managed secret store; least privilege; rotation; no client exposure; CI secret scanning; access audit.</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Application</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Server-side schemas, output encoding, safe redirects, CSRF strategy, CSP, dependency controls, file validation, and secure error handling.</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API/abuse</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Per-endpoint rate limits; brute-force protection; payload limits; request timeouts; bot/anomaly controls; allowlisted supplier operations.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Data</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Encryption in transit/at rest, least-privilege roles, ownership filters, retention/deletion, audit logs, backup protection, and access reviews.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Administration</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MFA, dedicated admin roles, audit trail, restricted networks where justified, session controls, and dual approval for sensitive actions.</w:t>
            </w:r>
          </w:p>
        </w:tc>
      </w:tr>
      <w:tr>
        <w:tc>
          <w:tcPr>
            <w:tcW w:type="dxa" w:w="1800"/>
            <w:tcMar>
              <w:top w:w="100" w:type="dxa"/>
              <w:start w:w="120" w:type="dxa"/>
              <w:bottom w:w="100" w:type="dxa"/>
              <w:end w:w="120" w:type="dxa"/>
            </w:tcMar>
            <w:vAlign w:val="center"/>
          </w:tcPr>
          <w:p>
            <w:pPr>
              <w:spacing w:before="0" w:after="40" w:line="252" w:lineRule="auto"/>
            </w:pPr>
            <w:r>
              <w:rPr>
                <w:rFonts w:ascii="Calibri" w:hAnsi="Calibri"/>
                <w:b w:val="0"/>
                <w:color w:val="000000"/>
                <w:sz w:val="18"/>
              </w:rPr>
              <w:t>Supply chain</w:t>
            </w:r>
          </w:p>
        </w:tc>
        <w:tc>
          <w:tcPr>
            <w:tcW w:type="dxa" w:w="7560"/>
            <w:tcMar>
              <w:top w:w="100" w:type="dxa"/>
              <w:start w:w="120" w:type="dxa"/>
              <w:bottom w:w="100" w:type="dxa"/>
              <w:end w:w="120" w:type="dxa"/>
            </w:tcMar>
            <w:vAlign w:val="center"/>
          </w:tcPr>
          <w:p>
            <w:pPr>
              <w:spacing w:before="0" w:after="40" w:line="252" w:lineRule="auto"/>
            </w:pPr>
            <w:r>
              <w:rPr>
                <w:rFonts w:ascii="Calibri" w:hAnsi="Calibri"/>
                <w:b w:val="0"/>
                <w:color w:val="000000"/>
                <w:sz w:val="18"/>
              </w:rPr>
              <w:t>Lockfile integrity, automated dependency updates, vulnerability scanning, provenance/SBOM where required, and reproducible builds.</w:t>
            </w:r>
          </w:p>
        </w:tc>
      </w:tr>
    </w:tbl>
    <w:p>
      <w:pPr>
        <w:pStyle w:val="Heading2"/>
        <w:widowControl/>
      </w:pPr>
      <w:r>
        <w:t>8.1 Payment and order integrity</w:t>
      </w:r>
    </w:p>
    <w:p>
      <w:pPr>
        <w:widowControl/>
        <w:numPr>
          <w:ilvl w:val="0"/>
          <w:numId w:val="10"/>
        </w:numPr>
      </w:pPr>
      <w:r>
        <w:t>Never trust price, discount, tax, shipping, stock, or payable amount calculated only in the browser.</w:t>
      </w:r>
    </w:p>
    <w:p>
      <w:pPr>
        <w:widowControl/>
        <w:numPr>
          <w:ilvl w:val="0"/>
          <w:numId w:val="10"/>
        </w:numPr>
      </w:pPr>
      <w:r>
        <w:t>Generate payment requests from a server-authoritative order snapshot and bind provider references to the correct user/order.</w:t>
      </w:r>
    </w:p>
    <w:p>
      <w:pPr>
        <w:widowControl/>
        <w:numPr>
          <w:ilvl w:val="0"/>
          <w:numId w:val="10"/>
        </w:numPr>
      </w:pPr>
      <w:r>
        <w:t>Verify webhook authenticity, timestamp/nonce where supported, amount/currency, merchant account, and expected order state.</w:t>
      </w:r>
    </w:p>
    <w:p>
      <w:pPr>
        <w:widowControl/>
        <w:numPr>
          <w:ilvl w:val="0"/>
          <w:numId w:val="10"/>
        </w:numPr>
      </w:pPr>
      <w:r>
        <w:t>Process callbacks idempotently; duplicate or reordered events must not duplicate orders, captures, emails, or stock deductions.</w:t>
      </w:r>
    </w:p>
    <w:p>
      <w:pPr>
        <w:widowControl/>
        <w:numPr>
          <w:ilvl w:val="0"/>
          <w:numId w:val="10"/>
        </w:numPr>
      </w:pPr>
      <w:r>
        <w:t>Reconcile provider settlements against internal payment/order records and alert on mismatches or long-pending transactions.</w:t>
      </w:r>
    </w:p>
    <w:p>
      <w:pPr>
        <w:widowControl/>
        <w:numPr>
          <w:ilvl w:val="0"/>
          <w:numId w:val="10"/>
        </w:numPr>
      </w:pPr>
      <w:r>
        <w:t>Define refund, cancellation, partial failure, abandoned payment, stock conflict, and customer-support procedures.</w:t>
      </w:r>
    </w:p>
    <w:p>
      <w:pPr>
        <w:widowControl/>
      </w:pPr>
      <w:r>
        <w:br w:type="page"/>
      </w:r>
    </w:p>
    <w:p>
      <w:pPr>
        <w:pStyle w:val="Heading1"/>
        <w:widowControl/>
      </w:pPr>
      <w:r>
        <w:t>9. Automated testing strategy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before="40" w:after="40"/>
            </w:pPr>
            <w:r>
              <w:rPr>
                <w:rFonts w:ascii="Calibri" w:hAnsi="Calibri"/>
                <w:b/>
                <w:color w:val="0B2545"/>
                <w:sz w:val="22"/>
              </w:rPr>
              <w:t xml:space="preserve">Testing objective: </w:t>
            </w:r>
            <w:r>
              <w:rPr>
                <w:rFonts w:ascii="Calibri" w:hAnsi="Calibri"/>
                <w:color w:val="000000"/>
                <w:sz w:val="22"/>
              </w:rPr>
              <w:t>Automated tests must prove business and security properties, not merely component rendering. Coverage percentages are secondary to protecting high-risk workflows and failure modes.</w:t>
            </w:r>
          </w:p>
        </w:tc>
      </w:tr>
    </w:tbl>
    <w:p>
      <w:pPr>
        <w:widowControl/>
        <w:spacing w:after="40"/>
      </w:pPr>
    </w:p>
    <w:tbl>
      <w:tblPr>
        <w:tblStyle w:val="TableGrid"/>
        <w:tblW w:type="dxa" w:w="9360"/>
        <w:jc w:val="left"/>
        <w:tblLayout w:type="fixed"/>
        <w:tblLook w:firstColumn="1" w:firstRow="1" w:lastColumn="0" w:lastRow="0" w:noHBand="0" w:noVBand="1" w:val="04A0"/>
        <w:tblInd w:w="120" w:type="dxa"/>
      </w:tblPr>
      <w:tblGrid>
        <w:gridCol w:w="1500"/>
        <w:gridCol w:w="5360"/>
        <w:gridCol w:w="2500"/>
      </w:tblGrid>
      <w:tr>
        <w:trPr>
          <w:tblHeader w:val="true"/>
        </w:trPr>
        <w:tc>
          <w:tcPr>
            <w:tcW w:type="dxa" w:w="15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Test layer</w:t>
            </w:r>
          </w:p>
        </w:tc>
        <w:tc>
          <w:tcPr>
            <w:tcW w:type="dxa" w:w="53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Priority coverage</w:t>
            </w:r>
          </w:p>
        </w:tc>
        <w:tc>
          <w:tcPr>
            <w:tcW w:type="dxa" w:w="25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Execution gate</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Unit</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Validation, pricing, coupon rules, cart totals, order transitions, cache policies, adapters</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Fast; every pull request</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Component</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Forms, accessibility, loading/error/empty states, admin/customer role-aware behavior</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Every pull request</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API integration</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Authentication, authorization, ownership, database constraints, idempotency, supplier adapters</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Every pull request against isolated services</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Contract</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Backend DTOs, supplier feeds, payment requests/webhooks</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Pull request + scheduled against sandboxes</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End-to-end</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Signup/login, browse, cart, coupon, checkout, payment result, order history, admin order handling</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Required staging gate</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Security</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Forged/expired tokens, IDOR, privilege escalation, brute force, payload abuse, upload validation</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CI baseline + pre-release review</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Performance</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Catalog, product detail, cart/checkout APIs, supplier refresh, admin order queries</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Scheduled and pre-release</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Recovery</w:t>
            </w:r>
          </w:p>
        </w:tc>
        <w:tc>
          <w:tcPr>
            <w:tcW w:type="dxa" w:w="5360"/>
            <w:tcMar>
              <w:top w:w="100" w:type="dxa"/>
              <w:start w:w="120" w:type="dxa"/>
              <w:bottom w:w="100" w:type="dxa"/>
              <w:end w:w="120" w:type="dxa"/>
            </w:tcMar>
            <w:vAlign w:val="center"/>
          </w:tcPr>
          <w:p>
            <w:pPr>
              <w:spacing w:before="0" w:after="40" w:line="252" w:lineRule="auto"/>
            </w:pPr>
            <w:r>
              <w:rPr>
                <w:rFonts w:ascii="Calibri" w:hAnsi="Calibri"/>
                <w:b w:val="0"/>
                <w:color w:val="000000"/>
                <w:sz w:val="18"/>
              </w:rPr>
              <w:t>Migration, backup restoration, failed deploy rollback, dependency outage</w:t>
            </w:r>
          </w:p>
        </w:tc>
        <w:tc>
          <w:tcPr>
            <w:tcW w:type="dxa" w:w="2500"/>
            <w:tcMar>
              <w:top w:w="100" w:type="dxa"/>
              <w:start w:w="120" w:type="dxa"/>
              <w:bottom w:w="100" w:type="dxa"/>
              <w:end w:w="120" w:type="dxa"/>
            </w:tcMar>
            <w:vAlign w:val="center"/>
          </w:tcPr>
          <w:p>
            <w:pPr>
              <w:spacing w:before="0" w:after="40" w:line="252" w:lineRule="auto"/>
            </w:pPr>
            <w:r>
              <w:rPr>
                <w:rFonts w:ascii="Calibri" w:hAnsi="Calibri"/>
                <w:b w:val="0"/>
                <w:color w:val="000000"/>
                <w:sz w:val="18"/>
              </w:rPr>
              <w:t>Release rehearsal and periodic drill</w:t>
            </w:r>
          </w:p>
        </w:tc>
      </w:tr>
    </w:tbl>
    <w:p>
      <w:pPr>
        <w:pStyle w:val="Heading2"/>
        <w:widowControl/>
      </w:pPr>
      <w:r>
        <w:t>9.1 Minimum critical scenarios</w:t>
      </w:r>
    </w:p>
    <w:p>
      <w:pPr>
        <w:widowControl/>
        <w:numPr>
          <w:ilvl w:val="0"/>
          <w:numId w:val="10"/>
        </w:numPr>
      </w:pPr>
      <w:r>
        <w:t>A forged or modified role token cannot access admin UI data or admin backend operations.</w:t>
      </w:r>
    </w:p>
    <w:p>
      <w:pPr>
        <w:widowControl/>
        <w:numPr>
          <w:ilvl w:val="0"/>
          <w:numId w:val="10"/>
        </w:numPr>
      </w:pPr>
      <w:r>
        <w:t>Customer A cannot read or mutate Customer B's profile, cart, address, order, artwork, or notifications.</w:t>
      </w:r>
    </w:p>
    <w:p>
      <w:pPr>
        <w:widowControl/>
        <w:numPr>
          <w:ilvl w:val="0"/>
          <w:numId w:val="10"/>
        </w:numPr>
      </w:pPr>
      <w:r>
        <w:t>Expired sessions, revoked sessions, and password changes invalidate access as designed.</w:t>
      </w:r>
    </w:p>
    <w:p>
      <w:pPr>
        <w:widowControl/>
        <w:numPr>
          <w:ilvl w:val="0"/>
          <w:numId w:val="10"/>
        </w:numPr>
      </w:pPr>
      <w:r>
        <w:t>Prices, coupons, totals, stock, and payment amounts cannot be manipulated through client requests.</w:t>
      </w:r>
    </w:p>
    <w:p>
      <w:pPr>
        <w:widowControl/>
        <w:numPr>
          <w:ilvl w:val="0"/>
          <w:numId w:val="10"/>
        </w:numPr>
      </w:pPr>
      <w:r>
        <w:t>Duplicate checkout/payment/webhook requests do not duplicate financial or order effects.</w:t>
      </w:r>
    </w:p>
    <w:p>
      <w:pPr>
        <w:widowControl/>
        <w:numPr>
          <w:ilvl w:val="0"/>
          <w:numId w:val="10"/>
        </w:numPr>
      </w:pPr>
      <w:r>
        <w:t>Supplier timeout, invalid response, rate limit, and outage degrade safely without corrupting catalog/order data.</w:t>
      </w:r>
    </w:p>
    <w:p>
      <w:pPr>
        <w:widowControl/>
        <w:numPr>
          <w:ilvl w:val="0"/>
          <w:numId w:val="10"/>
        </w:numPr>
      </w:pPr>
      <w:r>
        <w:t>Failed deployments and migrations can be detected and rolled back or rolled forward safely.</w:t>
      </w:r>
    </w:p>
    <w:p>
      <w:pPr>
        <w:widowControl/>
      </w:pPr>
      <w:r>
        <w:br w:type="page"/>
      </w:r>
    </w:p>
    <w:p>
      <w:pPr>
        <w:pStyle w:val="Heading1"/>
        <w:widowControl/>
      </w:pPr>
      <w:r>
        <w:t>10. CI/CD and controlled deployment</w:t>
      </w:r>
    </w:p>
    <w:p>
      <w:pPr>
        <w:pStyle w:val="Heading2"/>
        <w:widowControl/>
      </w:pPr>
      <w:r>
        <w:t>10.1 Required pipeline</w:t>
      </w:r>
    </w:p>
    <w:p>
      <w:pPr>
        <w:widowControl/>
        <w:numPr>
          <w:ilvl w:val="0"/>
          <w:numId w:val="11"/>
        </w:numPr>
      </w:pPr>
      <w:r>
        <w:t>Install dependencies from the committed lockfile in a clean environment.</w:t>
      </w:r>
    </w:p>
    <w:p>
      <w:pPr>
        <w:widowControl/>
        <w:numPr>
          <w:ilvl w:val="0"/>
          <w:numId w:val="11"/>
        </w:numPr>
      </w:pPr>
      <w:r>
        <w:t>Validate the complete environment contract without printing secrets.</w:t>
      </w:r>
    </w:p>
    <w:p>
      <w:pPr>
        <w:widowControl/>
        <w:numPr>
          <w:ilvl w:val="0"/>
          <w:numId w:val="11"/>
        </w:numPr>
      </w:pPr>
      <w:r>
        <w:t>Run formatting checks, strict typecheck, lint, unit/component/integration tests, and production build.</w:t>
      </w:r>
    </w:p>
    <w:p>
      <w:pPr>
        <w:widowControl/>
        <w:numPr>
          <w:ilvl w:val="0"/>
          <w:numId w:val="11"/>
        </w:numPr>
      </w:pPr>
      <w:r>
        <w:t>Run secret scanning, dependency/license policy, static security analysis, and infrastructure/configuration checks.</w:t>
      </w:r>
    </w:p>
    <w:p>
      <w:pPr>
        <w:widowControl/>
        <w:numPr>
          <w:ilvl w:val="0"/>
          <w:numId w:val="11"/>
        </w:numPr>
      </w:pPr>
      <w:r>
        <w:t>Create an immutable, versioned release artifact and record source revision and dependency metadata.</w:t>
      </w:r>
    </w:p>
    <w:p>
      <w:pPr>
        <w:widowControl/>
        <w:numPr>
          <w:ilvl w:val="0"/>
          <w:numId w:val="11"/>
        </w:numPr>
      </w:pPr>
      <w:r>
        <w:t>Deploy automatically to staging; apply/test migrations; execute smoke, end-to-end, accessibility, and security checks.</w:t>
      </w:r>
    </w:p>
    <w:p>
      <w:pPr>
        <w:widowControl/>
        <w:numPr>
          <w:ilvl w:val="0"/>
          <w:numId w:val="11"/>
        </w:numPr>
      </w:pPr>
      <w:r>
        <w:t>Require explicit approval for production promotion while the risk level remains high.</w:t>
      </w:r>
    </w:p>
    <w:p>
      <w:pPr>
        <w:widowControl/>
        <w:numPr>
          <w:ilvl w:val="0"/>
          <w:numId w:val="11"/>
        </w:numPr>
      </w:pPr>
      <w:r>
        <w:t>Deploy progressively where supported; monitor release indicators; automatically or manually roll back on threshold breach.</w:t>
      </w:r>
    </w:p>
    <w:p>
      <w:pPr>
        <w:widowControl/>
        <w:numPr>
          <w:ilvl w:val="0"/>
          <w:numId w:val="11"/>
        </w:numPr>
      </w:pPr>
      <w:r>
        <w:t>Record deployment result, approver, artifact version, migration version, and post-release verification evidence.</w:t>
      </w:r>
    </w:p>
    <w:p>
      <w:pPr>
        <w:pStyle w:val="Heading2"/>
        <w:widowControl/>
      </w:pPr>
      <w:r>
        <w:t>10.2 Branch and release controls</w:t>
      </w:r>
    </w:p>
    <w:p>
      <w:pPr>
        <w:widowControl/>
        <w:numPr>
          <w:ilvl w:val="0"/>
          <w:numId w:val="10"/>
        </w:numPr>
      </w:pPr>
      <w:r>
        <w:t>Protected main/release branches with required reviews and status checks.</w:t>
      </w:r>
    </w:p>
    <w:p>
      <w:pPr>
        <w:widowControl/>
        <w:numPr>
          <w:ilvl w:val="0"/>
          <w:numId w:val="10"/>
        </w:numPr>
      </w:pPr>
      <w:r>
        <w:t>No direct production deployment from developer machines.</w:t>
      </w:r>
    </w:p>
    <w:p>
      <w:pPr>
        <w:widowControl/>
        <w:numPr>
          <w:ilvl w:val="0"/>
          <w:numId w:val="10"/>
        </w:numPr>
      </w:pPr>
      <w:r>
        <w:t>Short-lived branches or an equivalent controlled trunk strategy; traceable pull requests.</w:t>
      </w:r>
    </w:p>
    <w:p>
      <w:pPr>
        <w:widowControl/>
        <w:numPr>
          <w:ilvl w:val="0"/>
          <w:numId w:val="10"/>
        </w:numPr>
      </w:pPr>
      <w:r>
        <w:t>Dependency and framework updates handled routinely rather than deferred to emergency upgrades.</w:t>
      </w:r>
    </w:p>
    <w:p>
      <w:pPr>
        <w:widowControl/>
        <w:numPr>
          <w:ilvl w:val="0"/>
          <w:numId w:val="10"/>
        </w:numPr>
      </w:pPr>
      <w:r>
        <w:t>Feature flags or configuration switches for risky supplier, payment, and checkout behavior.</w:t>
      </w:r>
    </w:p>
    <w:p>
      <w:pPr>
        <w:widowControl/>
        <w:numPr>
          <w:ilvl w:val="0"/>
          <w:numId w:val="10"/>
        </w:numPr>
      </w:pPr>
      <w:r>
        <w:t>Documented rollback owner and maximum decision time after a bad release.</w:t>
      </w:r>
    </w:p>
    <w:p>
      <w:pPr>
        <w:widowControl/>
      </w:pPr>
      <w:r>
        <w:br w:type="page"/>
      </w:r>
    </w:p>
    <w:p>
      <w:pPr>
        <w:pStyle w:val="Heading1"/>
        <w:widowControl/>
      </w:pPr>
      <w:r>
        <w:t>11. Observability, reliability, and recovery</w:t>
      </w:r>
    </w:p>
    <w:tbl>
      <w:tblPr>
        <w:tblStyle w:val="TableGrid"/>
        <w:tblW w:type="dxa" w:w="9360"/>
        <w:jc w:val="left"/>
        <w:tblLayout w:type="fixed"/>
        <w:tblLook w:firstColumn="1" w:firstRow="1" w:lastColumn="0" w:lastRow="0" w:noHBand="0" w:noVBand="1" w:val="04A0"/>
        <w:tblInd w:w="120" w:type="dxa"/>
      </w:tblPr>
      <w:tblGrid>
        <w:gridCol w:w="1500"/>
        <w:gridCol w:w="4360"/>
        <w:gridCol w:w="3500"/>
      </w:tblGrid>
      <w:tr>
        <w:trPr>
          <w:tblHeader w:val="true"/>
        </w:trPr>
        <w:tc>
          <w:tcPr>
            <w:tcW w:type="dxa" w:w="15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Signal</w:t>
            </w:r>
          </w:p>
        </w:tc>
        <w:tc>
          <w:tcPr>
            <w:tcW w:type="dxa" w:w="43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Minimum content</w:t>
            </w:r>
          </w:p>
        </w:tc>
        <w:tc>
          <w:tcPr>
            <w:tcW w:type="dxa" w:w="35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7"/>
              </w:rPr>
              <w:t>Safety / quality requirement</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Structured logs</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Request ID, user/account surrogate, route, status, duration, dependency, order/payment reference, release</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No passwords, tokens, raw credentials, payment secrets, or unnecessary personal data</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Metrics</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Traffic, latency, errors, saturation, cache, dependency failures, login, checkout, payment, order completion</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Segment by environment and release; avoid unbounded personal labels</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Error tracking</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Frontend exceptions, server exceptions, source maps, breadcrumbs, release association</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PII redaction and controlled access</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Tracing</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Browser/BFF/backend/dependency correlation for critical transactions where justified</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Propagate correlation safely across services</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Audit</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Admin changes, role changes, refunds, order overrides, coupon changes, credential/secret actions</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Tamper-resistant retention and access review</w:t>
            </w:r>
          </w:p>
        </w:tc>
      </w:tr>
      <w:tr>
        <w:tc>
          <w:tcPr>
            <w:tcW w:type="dxa" w:w="1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Alerts</w:t>
            </w:r>
          </w:p>
        </w:tc>
        <w:tc>
          <w:tcPr>
            <w:tcW w:type="dxa" w:w="4360"/>
            <w:tcMar>
              <w:top w:w="100" w:type="dxa"/>
              <w:start w:w="120" w:type="dxa"/>
              <w:bottom w:w="100" w:type="dxa"/>
              <w:end w:w="120" w:type="dxa"/>
            </w:tcMar>
            <w:vAlign w:val="center"/>
          </w:tcPr>
          <w:p>
            <w:pPr>
              <w:spacing w:before="0" w:after="40" w:line="252" w:lineRule="auto"/>
            </w:pPr>
            <w:r>
              <w:rPr>
                <w:rFonts w:ascii="Calibri" w:hAnsi="Calibri"/>
                <w:b w:val="0"/>
                <w:color w:val="000000"/>
                <w:sz w:val="17"/>
              </w:rPr>
              <w:t>SLO burn, payment/order failures, auth anomalies, supplier outage, backup failure, queue/backlog where used</w:t>
            </w:r>
          </w:p>
        </w:tc>
        <w:tc>
          <w:tcPr>
            <w:tcW w:type="dxa" w:w="3500"/>
            <w:tcMar>
              <w:top w:w="100" w:type="dxa"/>
              <w:start w:w="120" w:type="dxa"/>
              <w:bottom w:w="100" w:type="dxa"/>
              <w:end w:w="120" w:type="dxa"/>
            </w:tcMar>
            <w:vAlign w:val="center"/>
          </w:tcPr>
          <w:p>
            <w:pPr>
              <w:spacing w:before="0" w:after="40" w:line="252" w:lineRule="auto"/>
            </w:pPr>
            <w:r>
              <w:rPr>
                <w:rFonts w:ascii="Calibri" w:hAnsi="Calibri"/>
                <w:b w:val="0"/>
                <w:color w:val="000000"/>
                <w:sz w:val="17"/>
              </w:rPr>
              <w:t>Actionable thresholds, owner, escalation, runbook</w:t>
            </w:r>
          </w:p>
        </w:tc>
      </w:tr>
    </w:tbl>
    <w:p>
      <w:pPr>
        <w:pStyle w:val="Heading2"/>
        <w:widowControl/>
      </w:pPr>
      <w:r>
        <w:t>11.1 Proposed initial service objectives</w:t>
      </w:r>
    </w:p>
    <w:p>
      <w:pPr>
        <w:widowControl/>
      </w:pPr>
      <w:r>
        <w:t>Final values require business approval and measured baselines. Use these as decision prompts, not commitments:</w:t>
      </w:r>
    </w:p>
    <w:p>
      <w:pPr>
        <w:widowControl/>
        <w:numPr>
          <w:ilvl w:val="0"/>
          <w:numId w:val="10"/>
        </w:numPr>
      </w:pPr>
      <w:r>
        <w:t>Availability: define monthly objectives separately for storefront browsing, authenticated account access, checkout, and administration.</w:t>
      </w:r>
    </w:p>
    <w:p>
      <w:pPr>
        <w:widowControl/>
        <w:numPr>
          <w:ilvl w:val="0"/>
          <w:numId w:val="10"/>
        </w:numPr>
      </w:pPr>
      <w:r>
        <w:t>Latency: set percentile targets for product listing/detail, cart actions, checkout creation, and order lookup.</w:t>
      </w:r>
    </w:p>
    <w:p>
      <w:pPr>
        <w:widowControl/>
        <w:numPr>
          <w:ilvl w:val="0"/>
          <w:numId w:val="10"/>
        </w:numPr>
      </w:pPr>
      <w:r>
        <w:t>Correctness: track payment/order mismatch, duplicate order, stock conflict, supplier data freshness, and failed cart synchronization rates.</w:t>
      </w:r>
    </w:p>
    <w:p>
      <w:pPr>
        <w:widowControl/>
        <w:numPr>
          <w:ilvl w:val="0"/>
          <w:numId w:val="10"/>
        </w:numPr>
      </w:pPr>
      <w:r>
        <w:t>Recovery: define RPO and RTO for accounts/orders/payments, product data, uploads/artwork, and configuration/secrets.</w:t>
      </w:r>
    </w:p>
    <w:p>
      <w:pPr>
        <w:pStyle w:val="Heading2"/>
        <w:widowControl/>
      </w:pPr>
      <w:r>
        <w:t>11.2 Failure handling</w:t>
      </w:r>
    </w:p>
    <w:p>
      <w:pPr>
        <w:widowControl/>
        <w:numPr>
          <w:ilvl w:val="0"/>
          <w:numId w:val="10"/>
        </w:numPr>
      </w:pPr>
      <w:r>
        <w:t>Apply explicit connect and total request timeouts to every outbound dependency.</w:t>
      </w:r>
    </w:p>
    <w:p>
      <w:pPr>
        <w:widowControl/>
        <w:numPr>
          <w:ilvl w:val="0"/>
          <w:numId w:val="10"/>
        </w:numPr>
      </w:pPr>
      <w:r>
        <w:t>Retry only transient and safe/idempotent requests with bounded attempts, backoff, jitter, and observability.</w:t>
      </w:r>
    </w:p>
    <w:p>
      <w:pPr>
        <w:widowControl/>
        <w:numPr>
          <w:ilvl w:val="0"/>
          <w:numId w:val="10"/>
        </w:numPr>
      </w:pPr>
      <w:r>
        <w:t>Use stale/read-only catalog behavior where safe during supplier outages; never guess payment or order success.</w:t>
      </w:r>
    </w:p>
    <w:p>
      <w:pPr>
        <w:widowControl/>
        <w:numPr>
          <w:ilvl w:val="0"/>
          <w:numId w:val="10"/>
        </w:numPr>
      </w:pPr>
      <w:r>
        <w:t>Separate customer-facing messages from diagnostic details and preserve a correlation/reference ID for support.</w:t>
      </w:r>
    </w:p>
    <w:p>
      <w:pPr>
        <w:widowControl/>
        <w:numPr>
          <w:ilvl w:val="0"/>
          <w:numId w:val="10"/>
        </w:numPr>
      </w:pPr>
      <w:r>
        <w:t>Provide health/readiness checks that represent application and required dependency state without exposing secrets.</w:t>
      </w:r>
    </w:p>
    <w:p>
      <w:pPr>
        <w:widowControl/>
        <w:numPr>
          <w:ilvl w:val="0"/>
          <w:numId w:val="10"/>
        </w:numPr>
      </w:pPr>
      <w:r>
        <w:t>Maintain incident runbooks for authentication, payments, supplier outages, database failure, failed deployment, and data recovery.</w:t>
      </w:r>
    </w:p>
    <w:p>
      <w:pPr>
        <w:widowControl/>
      </w:pPr>
      <w:r>
        <w:br w:type="page"/>
      </w:r>
    </w:p>
    <w:p>
      <w:pPr>
        <w:pStyle w:val="Heading1"/>
        <w:widowControl/>
      </w:pPr>
      <w:r>
        <w:t>12. Data, privacy, and compliance readiness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7D6"/>
          </w:tcPr>
          <w:p>
            <w:pPr>
              <w:spacing w:before="40" w:after="40"/>
            </w:pPr>
            <w:r>
              <w:rPr>
                <w:rFonts w:ascii="Calibri" w:hAnsi="Calibri"/>
                <w:b/>
                <w:color w:val="7A5A00"/>
                <w:sz w:val="22"/>
              </w:rPr>
              <w:t xml:space="preserve">Scope note: </w:t>
            </w:r>
            <w:r>
              <w:rPr>
                <w:rFonts w:ascii="Calibri" w:hAnsi="Calibri"/>
                <w:color w:val="000000"/>
                <w:sz w:val="22"/>
              </w:rPr>
              <w:t>Legal and compliance obligations depend on operating jurisdictions, contracts, product categories, customer types, and payment architecture. This report identifies engineering questions; it is not legal advice.</w:t>
            </w:r>
          </w:p>
        </w:tc>
      </w:tr>
    </w:tbl>
    <w:p>
      <w:pPr>
        <w:widowControl/>
        <w:spacing w:after="40"/>
      </w:pPr>
    </w:p>
    <w:p>
      <w:pPr>
        <w:widowControl/>
        <w:numPr>
          <w:ilvl w:val="0"/>
          <w:numId w:val="10"/>
        </w:numPr>
      </w:pPr>
      <w:r>
        <w:t>What are the authoritative entities, identifiers, relationships, constraints, and transaction boundaries for users, businesses, addresses, carts, products, stock, coupons, orders, payments, refunds, uploads, and notifications?</w:t>
      </w:r>
    </w:p>
    <w:p>
      <w:pPr>
        <w:widowControl/>
        <w:numPr>
          <w:ilvl w:val="0"/>
          <w:numId w:val="10"/>
        </w:numPr>
      </w:pPr>
      <w:r>
        <w:t>Which records are owned by a user, business, school, or administrator, and how is ownership enforced in every query and mutation?</w:t>
      </w:r>
    </w:p>
    <w:p>
      <w:pPr>
        <w:widowControl/>
        <w:numPr>
          <w:ilvl w:val="0"/>
          <w:numId w:val="10"/>
        </w:numPr>
      </w:pPr>
      <w:r>
        <w:t>Which operations require atomic transactions, optimistic concurrency, idempotency keys, or audit events?</w:t>
      </w:r>
    </w:p>
    <w:p>
      <w:pPr>
        <w:widowControl/>
        <w:numPr>
          <w:ilvl w:val="0"/>
          <w:numId w:val="10"/>
        </w:numPr>
      </w:pPr>
      <w:r>
        <w:t>What personal data is collected, why is it necessary, how long is it retained, who can access it, and how are access/deletion requests handled?</w:t>
      </w:r>
    </w:p>
    <w:p>
      <w:pPr>
        <w:widowControl/>
        <w:numPr>
          <w:ilvl w:val="0"/>
          <w:numId w:val="10"/>
        </w:numPr>
      </w:pPr>
      <w:r>
        <w:t>How are uploaded artwork/files scanned, classified, stored, authorized, expired, and deleted?</w:t>
      </w:r>
    </w:p>
    <w:p>
      <w:pPr>
        <w:widowControl/>
        <w:numPr>
          <w:ilvl w:val="0"/>
          <w:numId w:val="10"/>
        </w:numPr>
      </w:pPr>
      <w:r>
        <w:t>What are the backup scope, encryption, retention, restore sequence, RPO, RTO, and evidence of restoration?</w:t>
      </w:r>
    </w:p>
    <w:p>
      <w:pPr>
        <w:widowControl/>
        <w:numPr>
          <w:ilvl w:val="0"/>
          <w:numId w:val="10"/>
        </w:numPr>
      </w:pPr>
      <w:r>
        <w:t>Which consumer, privacy, tax, electronic transaction, accessibility, marketing, and records obligations apply?</w:t>
      </w:r>
    </w:p>
    <w:p>
      <w:pPr>
        <w:widowControl/>
        <w:numPr>
          <w:ilvl w:val="0"/>
          <w:numId w:val="10"/>
        </w:numPr>
      </w:pPr>
      <w:r>
        <w:t>Does the payment design keep cardholder data entirely within the payment provider's hosted experience, and what compliance scope remains?</w:t>
      </w:r>
    </w:p>
    <w:p>
      <w:pPr>
        <w:widowControl/>
      </w:pPr>
      <w:r>
        <w:br w:type="page"/>
      </w:r>
    </w:p>
    <w:p>
      <w:pPr>
        <w:pStyle w:val="Heading1"/>
        <w:widowControl/>
      </w:pPr>
      <w:r>
        <w:t>13. Phased MVP-to-production roadmap</w:t>
      </w:r>
    </w:p>
    <w:p>
      <w:pPr>
        <w:widowControl/>
      </w:pPr>
      <w:r>
        <w:t>Timing is indicative and assumes a small cross-functional team with access to the backend, infrastructure, supplier accounts, and payment configuration. Security containment is urgent; later phases can overlap only when dependencies and ownership are explicit.</w:t>
      </w:r>
    </w:p>
    <w:tbl>
      <w:tblPr>
        <w:tblStyle w:val="TableGrid"/>
        <w:tblW w:type="dxa" w:w="9360"/>
        <w:jc w:val="left"/>
        <w:tblLayout w:type="fixed"/>
        <w:tblLook w:firstColumn="1" w:firstRow="1" w:lastColumn="0" w:lastRow="0" w:noHBand="0" w:noVBand="1" w:val="04A0"/>
        <w:tblInd w:w="120" w:type="dxa"/>
      </w:tblPr>
      <w:tblGrid>
        <w:gridCol w:w="720"/>
        <w:gridCol w:w="980"/>
        <w:gridCol w:w="1450"/>
        <w:gridCol w:w="1250"/>
        <w:gridCol w:w="2870"/>
        <w:gridCol w:w="2090"/>
      </w:tblGrid>
      <w:tr>
        <w:trPr>
          <w:tblHeader w:val="true"/>
        </w:trPr>
        <w:tc>
          <w:tcPr>
            <w:tcW w:type="dxa" w:w="72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Phase</w:t>
            </w:r>
          </w:p>
        </w:tc>
        <w:tc>
          <w:tcPr>
            <w:tcW w:type="dxa" w:w="98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Timing</w:t>
            </w:r>
          </w:p>
        </w:tc>
        <w:tc>
          <w:tcPr>
            <w:tcW w:type="dxa" w:w="145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Objective</w:t>
            </w:r>
          </w:p>
        </w:tc>
        <w:tc>
          <w:tcPr>
            <w:tcW w:type="dxa" w:w="125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Primary owner</w:t>
            </w:r>
          </w:p>
        </w:tc>
        <w:tc>
          <w:tcPr>
            <w:tcW w:type="dxa" w:w="287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Scope</w:t>
            </w:r>
          </w:p>
        </w:tc>
        <w:tc>
          <w:tcPr>
            <w:tcW w:type="dxa" w:w="209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6"/>
              </w:rPr>
              <w:t>Exit evidence</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0</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0-48 hours</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Security containment</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Security + platform</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Rotate exposed supplier credential; preserve incident evidence; remove secret from source/history; restrict or disable unsafe proxy methods; add temporary deny-by-default controls.</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Credential rotated; old credential unusable; proxies protected; incident decision recorded.</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1</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Week 1-3</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Trusted security boundaries</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Backend + frontend</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Verified sessions; server-enforced RBAC/ownership; secure cookies; CSRF strategy; schema validation; endpoint allowlists; rate and payload limits; safe error contracts.</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Threat-model review passed; authz integration tests pass; unauthenticated and cross-role access rejected.</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2</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Week 2-6</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Quality and release engineering</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Engineering + QA</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Test pyramid; CI pipeline; staging; environment validation; dependency/secret scanning; migration checks; release artifacts; smoke and regression suites.</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Every change passes required checks and deploys repeatably to staging.</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3</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Week 4-8</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Observability and resilience</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Platform + operations</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Structured logs; error tracking; dashboards; SLOs; alerts; health checks; timeouts; retry policy; supplier degradation; audit logs; on-call ownership.</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Critical workflows observable end-to-end; alert exercises and dependency-failure tests pass.</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4</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Week 6-10</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Recovery and launch readiness</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Product + engineering + operations</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Backup/restore rehearsal; RPO/RTO; rollback drill; load test; accessibility and security reviews; payment reconciliation; operational runbooks; production gate review.</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No blocking findings; restoration and rollback evidence accepted; launch approval signed.</w:t>
            </w:r>
          </w:p>
        </w:tc>
      </w:tr>
      <w:tr>
        <w:tc>
          <w:tcPr>
            <w:tcW w:type="dxa" w:w="720"/>
            <w:tcMar>
              <w:top w:w="100" w:type="dxa"/>
              <w:start w:w="120" w:type="dxa"/>
              <w:bottom w:w="100" w:type="dxa"/>
              <w:end w:w="120" w:type="dxa"/>
            </w:tcMar>
            <w:vAlign w:val="center"/>
          </w:tcPr>
          <w:p>
            <w:pPr>
              <w:spacing w:before="0" w:after="40" w:line="252" w:lineRule="auto"/>
            </w:pPr>
            <w:r>
              <w:rPr>
                <w:rFonts w:ascii="Calibri" w:hAnsi="Calibri"/>
                <w:b w:val="0"/>
                <w:color w:val="000000"/>
                <w:sz w:val="16"/>
              </w:rPr>
              <w:t>Phase 5</w:t>
            </w:r>
          </w:p>
        </w:tc>
        <w:tc>
          <w:tcPr>
            <w:tcW w:type="dxa" w:w="980"/>
            <w:tcMar>
              <w:top w:w="100" w:type="dxa"/>
              <w:start w:w="120" w:type="dxa"/>
              <w:bottom w:w="100" w:type="dxa"/>
              <w:end w:w="120" w:type="dxa"/>
            </w:tcMar>
            <w:vAlign w:val="center"/>
          </w:tcPr>
          <w:p>
            <w:pPr>
              <w:spacing w:before="0" w:after="40" w:line="252" w:lineRule="auto"/>
            </w:pPr>
            <w:r>
              <w:rPr>
                <w:rFonts w:ascii="Calibri" w:hAnsi="Calibri"/>
                <w:b w:val="0"/>
                <w:color w:val="000000"/>
                <w:sz w:val="16"/>
              </w:rPr>
              <w:t>Post-launch</w:t>
            </w:r>
          </w:p>
        </w:tc>
        <w:tc>
          <w:tcPr>
            <w:tcW w:type="dxa" w:w="1450"/>
            <w:tcMar>
              <w:top w:w="100" w:type="dxa"/>
              <w:start w:w="120" w:type="dxa"/>
              <w:bottom w:w="100" w:type="dxa"/>
              <w:end w:w="120" w:type="dxa"/>
            </w:tcMar>
            <w:vAlign w:val="center"/>
          </w:tcPr>
          <w:p>
            <w:pPr>
              <w:spacing w:before="0" w:after="40" w:line="252" w:lineRule="auto"/>
            </w:pPr>
            <w:r>
              <w:rPr>
                <w:rFonts w:ascii="Calibri" w:hAnsi="Calibri"/>
                <w:b w:val="0"/>
                <w:color w:val="000000"/>
                <w:sz w:val="16"/>
              </w:rPr>
              <w:t>Operational maturity</w:t>
            </w:r>
          </w:p>
        </w:tc>
        <w:tc>
          <w:tcPr>
            <w:tcW w:type="dxa" w:w="1250"/>
            <w:tcMar>
              <w:top w:w="100" w:type="dxa"/>
              <w:start w:w="120" w:type="dxa"/>
              <w:bottom w:w="100" w:type="dxa"/>
              <w:end w:w="120" w:type="dxa"/>
            </w:tcMar>
            <w:vAlign w:val="center"/>
          </w:tcPr>
          <w:p>
            <w:pPr>
              <w:spacing w:before="0" w:after="40" w:line="252" w:lineRule="auto"/>
            </w:pPr>
            <w:r>
              <w:rPr>
                <w:rFonts w:ascii="Calibri" w:hAnsi="Calibri"/>
                <w:b w:val="0"/>
                <w:color w:val="000000"/>
                <w:sz w:val="16"/>
              </w:rPr>
              <w:t>Service owners</w:t>
            </w:r>
          </w:p>
        </w:tc>
        <w:tc>
          <w:tcPr>
            <w:tcW w:type="dxa" w:w="2870"/>
            <w:tcMar>
              <w:top w:w="100" w:type="dxa"/>
              <w:start w:w="120" w:type="dxa"/>
              <w:bottom w:w="100" w:type="dxa"/>
              <w:end w:w="120" w:type="dxa"/>
            </w:tcMar>
            <w:vAlign w:val="center"/>
          </w:tcPr>
          <w:p>
            <w:pPr>
              <w:spacing w:before="0" w:after="40" w:line="252" w:lineRule="auto"/>
            </w:pPr>
            <w:r>
              <w:rPr>
                <w:rFonts w:ascii="Calibri" w:hAnsi="Calibri"/>
                <w:b w:val="0"/>
                <w:color w:val="000000"/>
                <w:sz w:val="16"/>
              </w:rPr>
              <w:t>Track SLOs, vulnerabilities, costs, conversion, payment/order failures, supplier quality, capacity, incidents, and improvement backlog.</w:t>
            </w:r>
          </w:p>
        </w:tc>
        <w:tc>
          <w:tcPr>
            <w:tcW w:type="dxa" w:w="2090"/>
            <w:tcMar>
              <w:top w:w="100" w:type="dxa"/>
              <w:start w:w="120" w:type="dxa"/>
              <w:bottom w:w="100" w:type="dxa"/>
              <w:end w:w="120" w:type="dxa"/>
            </w:tcMar>
            <w:vAlign w:val="center"/>
          </w:tcPr>
          <w:p>
            <w:pPr>
              <w:spacing w:before="0" w:after="40" w:line="252" w:lineRule="auto"/>
            </w:pPr>
            <w:r>
              <w:rPr>
                <w:rFonts w:ascii="Calibri" w:hAnsi="Calibri"/>
                <w:b w:val="0"/>
                <w:color w:val="000000"/>
                <w:sz w:val="16"/>
              </w:rPr>
              <w:t>Monthly operational review and measurable reliability/security improvement.</w:t>
            </w:r>
          </w:p>
        </w:tc>
      </w:tr>
    </w:tbl>
    <w:p>
      <w:pPr>
        <w:pStyle w:val="Heading2"/>
        <w:widowControl/>
      </w:pPr>
      <w:r>
        <w:t>13.1 Prioritized delivery backlog</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Priority</w:t>
            </w:r>
          </w:p>
        </w:tc>
        <w:tc>
          <w:tcPr>
            <w:tcW w:type="dxa" w:w="72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Required outcome</w:t>
            </w:r>
          </w:p>
        </w:tc>
      </w:tr>
      <w:tr>
        <w:tc>
          <w:tcPr>
            <w:tcW w:type="dxa" w:w="2100"/>
            <w:shd w:fill="FDECEC"/>
            <w:tcMar>
              <w:top w:w="100" w:type="dxa"/>
              <w:start w:w="120" w:type="dxa"/>
              <w:bottom w:w="100" w:type="dxa"/>
              <w:end w:w="120" w:type="dxa"/>
            </w:tcMar>
            <w:vAlign w:val="center"/>
          </w:tcPr>
          <w:p>
            <w:pPr>
              <w:spacing w:before="0" w:after="40" w:line="252" w:lineRule="auto"/>
            </w:pPr>
            <w:r>
              <w:rPr>
                <w:rFonts w:ascii="Calibri" w:hAnsi="Calibri"/>
                <w:b w:val="0"/>
                <w:color w:val="000000"/>
                <w:sz w:val="18"/>
              </w:rPr>
              <w:t>P0 - Immediate</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Rotate exposed secret; close public write proxy surface; preserve incident evidence; verify no active abuse; add temporary rate/payload controls.</w:t>
            </w:r>
          </w:p>
        </w:tc>
      </w:tr>
      <w:tr>
        <w:tc>
          <w:tcPr>
            <w:tcW w:type="dxa" w:w="2100"/>
            <w:shd w:fill="FDECEC"/>
            <w:tcMar>
              <w:top w:w="100" w:type="dxa"/>
              <w:start w:w="120" w:type="dxa"/>
              <w:bottom w:w="100" w:type="dxa"/>
              <w:end w:w="120" w:type="dxa"/>
            </w:tcMar>
            <w:vAlign w:val="center"/>
          </w:tcPr>
          <w:p>
            <w:pPr>
              <w:spacing w:before="0" w:after="40" w:line="252" w:lineRule="auto"/>
            </w:pPr>
            <w:r>
              <w:rPr>
                <w:rFonts w:ascii="Calibri" w:hAnsi="Calibri"/>
                <w:b w:val="0"/>
                <w:color w:val="000000"/>
                <w:sz w:val="18"/>
              </w:rPr>
              <w:t>P0 - Before any public launch</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Cryptographically verified authentication; backend RBAC/ownership; secure session storage; server-side schemas; payment/order integrity controls.</w:t>
            </w:r>
          </w:p>
        </w:tc>
      </w:tr>
      <w:tr>
        <w:tc>
          <w:tcPr>
            <w:tcW w:type="dxa" w:w="2100"/>
            <w:shd w:fill="FFF7D6"/>
            <w:tcMar>
              <w:top w:w="100" w:type="dxa"/>
              <w:start w:w="120" w:type="dxa"/>
              <w:bottom w:w="100" w:type="dxa"/>
              <w:end w:w="120" w:type="dxa"/>
            </w:tcMar>
            <w:vAlign w:val="center"/>
          </w:tcPr>
          <w:p>
            <w:pPr>
              <w:spacing w:before="0" w:after="40" w:line="252" w:lineRule="auto"/>
            </w:pPr>
            <w:r>
              <w:rPr>
                <w:rFonts w:ascii="Calibri" w:hAnsi="Calibri"/>
                <w:b w:val="0"/>
                <w:color w:val="000000"/>
                <w:sz w:val="18"/>
              </w:rPr>
              <w:t>P1 - Release foundation</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Automated critical tests; CI/CD; staging; environment validation; security headers; dependency and secret scanning; normalized API errors/timeouts.</w:t>
            </w:r>
          </w:p>
        </w:tc>
      </w:tr>
      <w:tr>
        <w:tc>
          <w:tcPr>
            <w:tcW w:type="dxa" w:w="2100"/>
            <w:shd w:fill="FFF7D6"/>
            <w:tcMar>
              <w:top w:w="100" w:type="dxa"/>
              <w:start w:w="120" w:type="dxa"/>
              <w:bottom w:w="100" w:type="dxa"/>
              <w:end w:w="120" w:type="dxa"/>
            </w:tcMar>
            <w:vAlign w:val="center"/>
          </w:tcPr>
          <w:p>
            <w:pPr>
              <w:spacing w:before="0" w:after="40" w:line="252" w:lineRule="auto"/>
            </w:pPr>
            <w:r>
              <w:rPr>
                <w:rFonts w:ascii="Calibri" w:hAnsi="Calibri"/>
                <w:b w:val="0"/>
                <w:color w:val="000000"/>
                <w:sz w:val="18"/>
              </w:rPr>
              <w:t>P1 - Operational readiness</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Structured logs; error tracking; metrics/SLOs/alerts; health checks; vendor failure handling; audit logs; support correlation IDs.</w:t>
            </w:r>
          </w:p>
        </w:tc>
      </w:tr>
      <w:tr>
        <w:tc>
          <w:tcPr>
            <w:tcW w:type="dxa" w:w="2100"/>
            <w:shd w:fill="FFF7D6"/>
            <w:tcMar>
              <w:top w:w="100" w:type="dxa"/>
              <w:start w:w="120" w:type="dxa"/>
              <w:bottom w:w="100" w:type="dxa"/>
              <w:end w:w="120" w:type="dxa"/>
            </w:tcMar>
            <w:vAlign w:val="center"/>
          </w:tcPr>
          <w:p>
            <w:pPr>
              <w:spacing w:before="0" w:after="40" w:line="252" w:lineRule="auto"/>
            </w:pPr>
            <w:r>
              <w:rPr>
                <w:rFonts w:ascii="Calibri" w:hAnsi="Calibri"/>
                <w:b w:val="0"/>
                <w:color w:val="000000"/>
                <w:sz w:val="18"/>
              </w:rPr>
              <w:t>P1 - Recovery</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Migration strategy; backups; restore rehearsal; rollback drill; feature flags/kill switches; incident runbooks.</w:t>
            </w:r>
          </w:p>
        </w:tc>
      </w:tr>
      <w:tr>
        <w:tc>
          <w:tcPr>
            <w:tcW w:type="dxa" w:w="21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8"/>
              </w:rPr>
              <w:t>P2 - Quality and scale</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Accessibility review; bundle/Core Web Vitals budgets; load/capacity tests; shared caching only if justified; cost and supplier-quality dashboards.</w:t>
            </w:r>
          </w:p>
        </w:tc>
      </w:tr>
      <w:tr>
        <w:tc>
          <w:tcPr>
            <w:tcW w:type="dxa" w:w="2100"/>
            <w:shd w:fill="E8EEF5"/>
            <w:tcMar>
              <w:top w:w="100" w:type="dxa"/>
              <w:start w:w="120" w:type="dxa"/>
              <w:bottom w:w="100" w:type="dxa"/>
              <w:end w:w="120" w:type="dxa"/>
            </w:tcMar>
            <w:vAlign w:val="center"/>
          </w:tcPr>
          <w:p>
            <w:pPr>
              <w:spacing w:before="0" w:after="40" w:line="252" w:lineRule="auto"/>
            </w:pPr>
            <w:r>
              <w:rPr>
                <w:rFonts w:ascii="Calibri" w:hAnsi="Calibri"/>
                <w:b w:val="0"/>
                <w:color w:val="000000"/>
                <w:sz w:val="18"/>
              </w:rPr>
              <w:t>P3 - Later maturity</w:t>
            </w:r>
          </w:p>
        </w:tc>
        <w:tc>
          <w:tcPr>
            <w:tcW w:type="dxa" w:w="7260"/>
            <w:tcMar>
              <w:top w:w="100" w:type="dxa"/>
              <w:start w:w="120" w:type="dxa"/>
              <w:bottom w:w="100" w:type="dxa"/>
              <w:end w:w="120" w:type="dxa"/>
            </w:tcMar>
            <w:vAlign w:val="center"/>
          </w:tcPr>
          <w:p>
            <w:pPr>
              <w:spacing w:before="0" w:after="40" w:line="252" w:lineRule="auto"/>
            </w:pPr>
            <w:r>
              <w:rPr>
                <w:rFonts w:ascii="Calibri" w:hAnsi="Calibri"/>
                <w:b w:val="0"/>
                <w:color w:val="000000"/>
                <w:sz w:val="18"/>
              </w:rPr>
              <w:t>Advanced tracing, autoscaling, distributed cache, queues, multi-zone design, or disaster-recovery enhancements only where measured requirements justify them.</w:t>
            </w:r>
          </w:p>
        </w:tc>
      </w:tr>
    </w:tbl>
    <w:p>
      <w:pPr>
        <w:widowControl/>
      </w:pPr>
      <w:r>
        <w:br w:type="page"/>
      </w:r>
    </w:p>
    <w:p>
      <w:pPr>
        <w:pStyle w:val="Heading1"/>
        <w:widowControl/>
      </w:pPr>
      <w:r>
        <w:t>14. Production approval exit criteria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before="40" w:after="40"/>
            </w:pPr>
            <w:r>
              <w:rPr>
                <w:rFonts w:ascii="Calibri" w:hAnsi="Calibri"/>
                <w:b/>
                <w:color w:val="9B1C1C"/>
                <w:sz w:val="22"/>
              </w:rPr>
              <w:t xml:space="preserve">Approval rule: </w:t>
            </w:r>
            <w:r>
              <w:rPr>
                <w:rFonts w:ascii="Calibri" w:hAnsi="Calibri"/>
                <w:color w:val="000000"/>
                <w:sz w:val="22"/>
              </w:rPr>
              <w:t>Do not approve production because a date has arrived or because the UI appears complete. Approve only when every applicable blocker is resolved and objective evidence has passed review.</w:t>
            </w:r>
          </w:p>
        </w:tc>
      </w:tr>
    </w:tbl>
    <w:p>
      <w:pPr>
        <w:widowControl/>
        <w:spacing w:after="40"/>
      </w:pPr>
    </w:p>
    <w:p>
      <w:pPr>
        <w:widowControl/>
        <w:numPr>
          <w:ilvl w:val="0"/>
          <w:numId w:val="10"/>
        </w:numPr>
      </w:pPr>
      <w:r>
        <w:t>[ ] Security: all known critical/high findings resolved or formally risk-accepted; exposed credentials rotated and history remediated.</w:t>
      </w:r>
    </w:p>
    <w:p>
      <w:pPr>
        <w:widowControl/>
        <w:numPr>
          <w:ilvl w:val="0"/>
          <w:numId w:val="10"/>
        </w:numPr>
      </w:pPr>
      <w:r>
        <w:t>[ ] Identity: token/session verification and RBAC/ownership controls tested at trusted backend boundaries.</w:t>
      </w:r>
    </w:p>
    <w:p>
      <w:pPr>
        <w:widowControl/>
        <w:numPr>
          <w:ilvl w:val="0"/>
          <w:numId w:val="10"/>
        </w:numPr>
      </w:pPr>
      <w:r>
        <w:t>[ ] API: explicit route/method allowlists, schema validation, payload limits, rate limits, timeouts, and safe error responses are active.</w:t>
      </w:r>
    </w:p>
    <w:p>
      <w:pPr>
        <w:widowControl/>
        <w:numPr>
          <w:ilvl w:val="0"/>
          <w:numId w:val="10"/>
        </w:numPr>
      </w:pPr>
      <w:r>
        <w:t>[ ] Payments: amount calculation is server-authoritative; webhook authenticity, idempotency, reconciliation, refunds, and failure handling are tested.</w:t>
      </w:r>
    </w:p>
    <w:p>
      <w:pPr>
        <w:widowControl/>
        <w:numPr>
          <w:ilvl w:val="0"/>
          <w:numId w:val="10"/>
        </w:numPr>
      </w:pPr>
      <w:r>
        <w:t>[ ] Data: schema, constraints, migrations, retention, deletion, encryption, audit requirements, and ownership rules are approved.</w:t>
      </w:r>
    </w:p>
    <w:p>
      <w:pPr>
        <w:widowControl/>
        <w:numPr>
          <w:ilvl w:val="0"/>
          <w:numId w:val="10"/>
        </w:numPr>
      </w:pPr>
      <w:r>
        <w:t>[ ] Quality: automated unit, integration, and end-to-end suites cover critical customer and admin workflows with agreed pass thresholds.</w:t>
      </w:r>
    </w:p>
    <w:p>
      <w:pPr>
        <w:widowControl/>
        <w:numPr>
          <w:ilvl w:val="0"/>
          <w:numId w:val="10"/>
        </w:numPr>
      </w:pPr>
      <w:r>
        <w:t>[ ] Delivery: CI/CD creates immutable releases, promotes through staging, records approvals, and supports rehearsed rollback.</w:t>
      </w:r>
    </w:p>
    <w:p>
      <w:pPr>
        <w:widowControl/>
        <w:numPr>
          <w:ilvl w:val="0"/>
          <w:numId w:val="10"/>
        </w:numPr>
      </w:pPr>
      <w:r>
        <w:t>[ ] Observability: structured logs, error tracking, metrics, dashboards, SLOs, alerts, and correlation IDs work in production-like testing.</w:t>
      </w:r>
    </w:p>
    <w:p>
      <w:pPr>
        <w:widowControl/>
        <w:numPr>
          <w:ilvl w:val="0"/>
          <w:numId w:val="10"/>
        </w:numPr>
      </w:pPr>
      <w:r>
        <w:t>[ ] Recovery: backups are monitored and a restoration exercise proves agreed RPO and RTO; runbooks identify owners and escalation paths.</w:t>
      </w:r>
    </w:p>
    <w:p>
      <w:pPr>
        <w:widowControl/>
        <w:numPr>
          <w:ilvl w:val="0"/>
          <w:numId w:val="10"/>
        </w:numPr>
      </w:pPr>
      <w:r>
        <w:t>[ ] Performance: load, latency, bundle, and Core Web Vitals budgets are met under expected and peak traffic scenarios.</w:t>
      </w:r>
    </w:p>
    <w:p>
      <w:pPr>
        <w:widowControl/>
        <w:numPr>
          <w:ilvl w:val="0"/>
          <w:numId w:val="10"/>
        </w:numPr>
      </w:pPr>
      <w:r>
        <w:t>[ ] Compliance: privacy, consumer, payment, tax, records, and terms requirements are reviewed for the operating jurisdictions.</w:t>
      </w:r>
    </w:p>
    <w:p>
      <w:pPr>
        <w:widowControl/>
        <w:numPr>
          <w:ilvl w:val="0"/>
          <w:numId w:val="10"/>
        </w:numPr>
      </w:pPr>
      <w:r>
        <w:t>[ ] Operations: support, incident response, on-call, vendor escalation, business continuity, and post-release monitoring responsibilities are assigned.</w:t>
      </w:r>
    </w:p>
    <w:p>
      <w:pPr>
        <w:pStyle w:val="Heading2"/>
        <w:widowControl/>
      </w:pPr>
      <w:r>
        <w:t>14.1 Required review participants</w:t>
      </w:r>
    </w:p>
    <w:p>
      <w:pPr>
        <w:widowControl/>
        <w:numPr>
          <w:ilvl w:val="0"/>
          <w:numId w:val="10"/>
        </w:numPr>
      </w:pPr>
      <w:r>
        <w:t>Product/business owner - workflows, risk tolerance, customer support, and launch decision.</w:t>
      </w:r>
    </w:p>
    <w:p>
      <w:pPr>
        <w:widowControl/>
        <w:numPr>
          <w:ilvl w:val="0"/>
          <w:numId w:val="10"/>
        </w:numPr>
      </w:pPr>
      <w:r>
        <w:t>Engineering lead - architecture, quality, deployment, maintainability, and ownership.</w:t>
      </w:r>
    </w:p>
    <w:p>
      <w:pPr>
        <w:widowControl/>
        <w:numPr>
          <w:ilvl w:val="0"/>
          <w:numId w:val="10"/>
        </w:numPr>
      </w:pPr>
      <w:r>
        <w:t>Security reviewer - identity, access, secrets, API/data security, threats, and remediation verification.</w:t>
      </w:r>
    </w:p>
    <w:p>
      <w:pPr>
        <w:widowControl/>
        <w:numPr>
          <w:ilvl w:val="0"/>
          <w:numId w:val="10"/>
        </w:numPr>
      </w:pPr>
      <w:r>
        <w:t>Platform/operations owner - hosting, observability, capacity, incident response, backup, restore, and rollback.</w:t>
      </w:r>
    </w:p>
    <w:p>
      <w:pPr>
        <w:widowControl/>
        <w:numPr>
          <w:ilvl w:val="0"/>
          <w:numId w:val="10"/>
        </w:numPr>
      </w:pPr>
      <w:r>
        <w:t>Data/backend owner - schema, migrations, constraints, transactions, ownership, retention, and auditability.</w:t>
      </w:r>
    </w:p>
    <w:p>
      <w:pPr>
        <w:widowControl/>
        <w:numPr>
          <w:ilvl w:val="0"/>
          <w:numId w:val="10"/>
        </w:numPr>
      </w:pPr>
      <w:r>
        <w:t>Payments/finance owner - provider configuration, reconciliation, refunds, settlement, fraud, and business controls.</w:t>
      </w:r>
    </w:p>
    <w:p>
      <w:pPr>
        <w:widowControl/>
        <w:numPr>
          <w:ilvl w:val="0"/>
          <w:numId w:val="10"/>
        </w:numPr>
      </w:pPr>
      <w:r>
        <w:t>QA/accessibility representative - critical scenarios, regression, cross-browser/device, and accessibility evidence.</w:t>
      </w:r>
    </w:p>
    <w:p>
      <w:pPr>
        <w:widowControl/>
      </w:pPr>
      <w:r>
        <w:br w:type="page"/>
      </w:r>
    </w:p>
    <w:p>
      <w:pPr>
        <w:pStyle w:val="Heading1"/>
        <w:widowControl/>
      </w:pPr>
      <w:r>
        <w:t>15. Conclusion</w:t>
      </w:r>
    </w:p>
    <w:p>
      <w:pPr>
        <w:widowControl/>
      </w:pPr>
      <w:r>
        <w:t>U-GETMO is not a failed project; it is an MVP that has reached the point where production engineering must become first-class scope. The codebase already contains enough product breadth to validate the commercial concept, and the successful build shows that the application can be packaged. The dominant risks are now trust boundaries, release assurance, operational detection, and recoverability.</w:t>
      </w:r>
    </w:p>
    <w:p>
      <w:pPr>
        <w:widowControl/>
      </w:pPr>
      <w:r>
        <w:t>The fastest safe path is not an infrastructure-heavy rewrite. It is a disciplined sequence: contain the exposed credential and proxy surface, establish verified identity and backend authorization, create automated tests and a controlled delivery pipeline, make failures observable, prove payment/order integrity, and rehearse restoration and rollback. Once those outcomes are evidenced and the unknown backend/infrastructure items are closed, the project can be reassessed against the same AI-SWE-001 gate for production approval.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DECEC"/>
          </w:tcPr>
          <w:p>
            <w:pPr>
              <w:spacing w:before="40" w:after="40"/>
            </w:pPr>
            <w:r>
              <w:rPr>
                <w:rFonts w:ascii="Calibri" w:hAnsi="Calibri"/>
                <w:b/>
                <w:color w:val="9B1C1C"/>
                <w:sz w:val="22"/>
              </w:rPr>
              <w:t xml:space="preserve">Final classification: </w:t>
            </w:r>
            <w:r>
              <w:rPr>
                <w:rFonts w:ascii="Calibri" w:hAnsi="Calibri"/>
                <w:color w:val="000000"/>
                <w:sz w:val="22"/>
              </w:rPr>
              <w:t>Current: Level 1 - MVP. Target: Level 2 - Production System. Production decision: NOT APPROVED until all BLOCKING items are resolved and verified.</w:t>
            </w:r>
          </w:p>
        </w:tc>
      </w:tr>
    </w:tbl>
    <w:p>
      <w:pPr>
        <w:widowControl/>
        <w:spacing w:after="40"/>
      </w:pPr>
    </w:p>
    <w:p>
      <w:pPr>
        <w:widowControl/>
      </w:pPr>
      <w:r>
        <w:br w:type="page"/>
      </w:r>
    </w:p>
    <w:p>
      <w:pPr>
        <w:pStyle w:val="Heading1"/>
        <w:widowControl/>
      </w:pPr>
      <w:r>
        <w:t>Appendix A - Repository evidence register</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Repository evidence</w:t>
            </w:r>
          </w:p>
        </w:tc>
        <w:tc>
          <w:tcPr>
            <w:tcW w:type="dxa" w:w="6460"/>
            <w:tcMar>
              <w:top w:w="100" w:type="dxa"/>
              <w:start w:w="120" w:type="dxa"/>
              <w:bottom w:w="100" w:type="dxa"/>
              <w:end w:w="120" w:type="dxa"/>
            </w:tcMar>
            <w:vAlign w:val="center"/>
            <w:shd w:fill="F2F4F7"/>
          </w:tcPr>
          <w:p>
            <w:pPr>
              <w:spacing w:before="0" w:after="40" w:line="252" w:lineRule="auto"/>
            </w:pPr>
            <w:r>
              <w:rPr>
                <w:rFonts w:ascii="Calibri" w:hAnsi="Calibri"/>
                <w:b/>
                <w:color w:val="000000"/>
                <w:sz w:val="18"/>
              </w:rPr>
              <w:t>Why it matters</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package.json</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Build succeeds; no test script; delivery lifecycle is limited to dev/build/start/lint.</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eslint.config.mjs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Hooks correctness, exhaustive dependencies, unused variables, and explicit-any controls are disabled.</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tsconfig.json</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Strict TypeScript is enabled, a positive baseline; allowJs and skipLibCheck reduce coverage.</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middleware.ts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JWT claims are decoded, not cryptographically verified; all /api routes are bypassed.</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endpoints/lib/ecryptUser.ts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Authentication token is JavaScript-readable; helper naming claims encryption without encryption.</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endpoints/lib/token-manager.ts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Supplier login credential committed in source; process-local token cache.</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app/api/amrod/[...path]/route.ts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Public wildcard supplier proxy with broad GET/POST/PUT/DELETE behavior and in-memory cache.</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app/api/parrot/[...path]/route.ts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Broad proxy surface and hard-coded supplier feed path/key segment; authorization not evidenced.</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app/api/tarsus/[...path]/route.ts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Server-side environment variable is used appropriately, but route access and abuse controls are absent.</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endpoints/lib/rest-api-client.ts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Inconsistent error returns, no explicit timeout, and errors may be treated as successful values.</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components/profile/*</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Stale profile cache, incomplete handlers, fabricated verification state, and indefinite loading/error states.</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README.md / .env.example</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Template documentation only; no architecture, deployment, operations, or complete environment contract.</w:t>
            </w:r>
          </w:p>
        </w:tc>
      </w:tr>
      <w:tr>
        <w:tc>
          <w:tcPr>
            <w:tcW w:type="dxa" w:w="2900"/>
            <w:tcMar>
              <w:top w:w="100" w:type="dxa"/>
              <w:start w:w="120" w:type="dxa"/>
              <w:bottom w:w="100" w:type="dxa"/>
              <w:end w:w="120" w:type="dxa"/>
            </w:tcMar>
            <w:vAlign w:val="center"/>
          </w:tcPr>
          <w:p>
            <w:pPr>
              <w:spacing w:before="0" w:after="40" w:line="252" w:lineRule="auto"/>
            </w:pPr>
            <w:r>
              <w:rPr>
                <w:rFonts w:ascii="Calibri" w:hAnsi="Calibri"/>
                <w:b w:val="0"/>
                <w:color w:val="000000"/>
                <w:sz w:val="18"/>
              </w:rPr>
              <w:t>next.config.ts</w:t>
            </w:r>
          </w:p>
        </w:tc>
        <w:tc>
          <w:tcPr>
            <w:tcW w:type="dxa" w:w="6460"/>
            <w:tcMar>
              <w:top w:w="100" w:type="dxa"/>
              <w:start w:w="120" w:type="dxa"/>
              <w:bottom w:w="100" w:type="dxa"/>
              <w:end w:w="120" w:type="dxa"/>
            </w:tcMar>
            <w:vAlign w:val="center"/>
          </w:tcPr>
          <w:p>
            <w:pPr>
              <w:spacing w:before="0" w:after="40" w:line="252" w:lineRule="auto"/>
            </w:pPr>
            <w:r>
              <w:rPr>
                <w:rFonts w:ascii="Calibri" w:hAnsi="Calibri"/>
                <w:b w:val="0"/>
                <w:color w:val="000000"/>
                <w:sz w:val="18"/>
              </w:rPr>
              <w:t>Image domains configured; production security headers and explicit platform policies not present.</w:t>
            </w:r>
          </w:p>
        </w:tc>
      </w:tr>
    </w:tbl>
    <w:p>
      <w:pPr>
        <w:widowControl/>
      </w:pPr>
      <w:r>
        <w:t>Evidence paths are relative to the supplied U-GETMO workspace. This appendix identifies review locations without reproducing any credential value.</w:t>
      </w:r>
    </w:p>
    <w:p>
      <w:pPr>
        <w:widowControl/>
      </w:pPr>
      <w:r>
        <w:br w:type="page"/>
      </w:r>
    </w:p>
    <w:p>
      <w:pPr>
        <w:pStyle w:val="Heading1"/>
        <w:widowControl/>
      </w:pPr>
      <w:r>
        <w:t>Appendix B - Open architecture decisions</w:t>
      </w:r>
    </w:p>
    <w:p>
      <w:pPr>
        <w:widowControl/>
        <w:numPr>
          <w:ilvl w:val="0"/>
          <w:numId w:val="10"/>
        </w:numPr>
      </w:pPr>
      <w:r>
        <w:t>Who owns the production service and who is on-call for customer, payment, supplier, and deployment incidents?</w:t>
      </w:r>
    </w:p>
    <w:p>
      <w:pPr>
        <w:widowControl/>
        <w:numPr>
          <w:ilvl w:val="0"/>
          <w:numId w:val="10"/>
        </w:numPr>
      </w:pPr>
      <w:r>
        <w:t>Where will frontend, backend, database, object storage, DNS, secrets, and monitoring run in development, staging, and production?</w:t>
      </w:r>
    </w:p>
    <w:p>
      <w:pPr>
        <w:widowControl/>
        <w:numPr>
          <w:ilvl w:val="0"/>
          <w:numId w:val="10"/>
        </w:numPr>
      </w:pPr>
      <w:r>
        <w:t>What are expected launch traffic, seasonal peaks, catalog size, order volume, upload volume, and supplier/API limits?</w:t>
      </w:r>
    </w:p>
    <w:p>
      <w:pPr>
        <w:widowControl/>
        <w:numPr>
          <w:ilvl w:val="0"/>
          <w:numId w:val="10"/>
        </w:numPr>
      </w:pPr>
      <w:r>
        <w:t>What availability objectives, RPO, and RTO are acceptable for browsing, checkout, payments, orders, and administration?</w:t>
      </w:r>
    </w:p>
    <w:p>
      <w:pPr>
        <w:widowControl/>
        <w:numPr>
          <w:ilvl w:val="0"/>
          <w:numId w:val="10"/>
        </w:numPr>
      </w:pPr>
      <w:r>
        <w:t>What is the complete data model, and which constraints/transactions protect pricing, stock, orders, payments, and refunds?</w:t>
      </w:r>
    </w:p>
    <w:p>
      <w:pPr>
        <w:widowControl/>
        <w:numPr>
          <w:ilvl w:val="0"/>
          <w:numId w:val="10"/>
        </w:numPr>
      </w:pPr>
      <w:r>
        <w:t>Which backend operations currently verify identity, role, ownership, and business rules independently of the UI?</w:t>
      </w:r>
    </w:p>
    <w:p>
      <w:pPr>
        <w:widowControl/>
        <w:numPr>
          <w:ilvl w:val="0"/>
          <w:numId w:val="10"/>
        </w:numPr>
      </w:pPr>
      <w:r>
        <w:t>How are PayFast callbacks authenticated, deduplicated, reconciled, and linked to server-authoritative order amounts?</w:t>
      </w:r>
    </w:p>
    <w:p>
      <w:pPr>
        <w:widowControl/>
        <w:numPr>
          <w:ilvl w:val="0"/>
          <w:numId w:val="10"/>
        </w:numPr>
      </w:pPr>
      <w:r>
        <w:t>What supplier actions are actually required, which may be public reads, and which must be internal jobs or privileged operations?</w:t>
      </w:r>
    </w:p>
    <w:p>
      <w:pPr>
        <w:widowControl/>
        <w:numPr>
          <w:ilvl w:val="0"/>
          <w:numId w:val="10"/>
        </w:numPr>
      </w:pPr>
      <w:r>
        <w:t>What customer jurisdictions and legal/compliance obligations apply to privacy, consumer protection, tax, marketing, accessibility, and records?</w:t>
      </w:r>
    </w:p>
    <w:p>
      <w:pPr>
        <w:widowControl/>
        <w:numPr>
          <w:ilvl w:val="0"/>
          <w:numId w:val="10"/>
        </w:numPr>
      </w:pPr>
      <w:r>
        <w:t>What deployment platform, rollback mechanism, database migration approach, backup system, and restore evidence already exist outside this repository?</w:t>
      </w:r>
    </w:p>
    <w:p>
      <w:pPr>
        <w:widowControl/>
      </w:pPr>
      <w:r>
        <w:br w:type="page"/>
      </w:r>
    </w:p>
    <w:p>
      <w:pPr>
        <w:pStyle w:val="Heading1"/>
        <w:widowControl/>
      </w:pPr>
      <w:r>
        <w:t>Appendix C - Source references</w:t>
      </w:r>
    </w:p>
    <w:p>
      <w:pPr>
        <w:widowControl/>
        <w:numPr>
          <w:ilvl w:val="0"/>
          <w:numId w:val="10"/>
        </w:numPr>
      </w:pPr>
      <w:r>
        <w:t>AI Software Engineer Blueprint v0.1, AI-SWE-001 - Build Systems, Not Just Features, 20 pages. Supplied at C:\Users\dntsi\Downloads\AI Software Engineer Blueprint v0.1.pdf.</w:t>
      </w:r>
    </w:p>
    <w:p>
      <w:pPr>
        <w:widowControl/>
        <w:numPr>
          <w:ilvl w:val="0"/>
          <w:numId w:val="10"/>
        </w:numPr>
      </w:pPr>
      <w:r>
        <w:t>U-GETMO supplied workspace at C:\Users\dntsi\Downloads\U-GETMO-FE-development (1)\U-GETMO-FE-development.</w:t>
      </w:r>
    </w:p>
    <w:p>
      <w:pPr>
        <w:widowControl/>
        <w:numPr>
          <w:ilvl w:val="0"/>
          <w:numId w:val="10"/>
        </w:numPr>
      </w:pPr>
      <w:r>
        <w:t>Repository production build validation performed with npm run build on 27 August 2026.</w:t>
      </w:r>
    </w:p>
    <w:p>
      <w:pPr>
        <w:widowControl/>
        <w:numPr>
          <w:ilvl w:val="0"/>
          <w:numId w:val="10"/>
        </w:numPr>
      </w:pPr>
      <w:r>
        <w:t>Repository configured lint validation performed with npm run lint on 27 August 2026.</w:t>
      </w:r>
    </w:p>
    <w:p>
      <w:pPr>
        <w:widowControl/>
        <w:numPr>
          <w:ilvl w:val="0"/>
          <w:numId w:val="10"/>
        </w:numPr>
      </w:pPr>
      <w:r>
        <w:t>Static repository scans performed for source structure, tests, CI/CD, logging, type safety, authentication, API routes, secrets, environment configuration, and operational artifacts.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Confidential working assessment  |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U-GETMO | Production Readiness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U-GETMO Production Readiness Assessment</dc:title>
  <dc:subject>MVP-to-production assessment against AI-SWE-001</dc:subject>
  <dc:creator>Engineering Readiness Review</dc:creator>
  <cp:keywords>U-GETMO, production readiness, e-commerce, AI-SWE-001, security, roadmap</cp:keywords>
  <dc:description>Sensitive credential values intentionally excluded.</dc:description>
  <cp:lastModifiedBy/>
  <cp:revision>1</cp:revision>
  <dcterms:created xsi:type="dcterms:W3CDTF">2013-12-23T23:15:00Z</dcterms:created>
  <dcterms:modified xsi:type="dcterms:W3CDTF">2013-12-23T23:15:00Z</dcterms:modified>
  <cp:category/>
</cp:coreProperties>
</file>