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DDDBA">
      <w:pPr>
        <w:jc w:val="center"/>
        <w:rPr>
          <w:rFonts w:hint="eastAsia" w:eastAsia="黑体"/>
          <w:bCs/>
          <w:sz w:val="36"/>
          <w:szCs w:val="36"/>
        </w:rPr>
      </w:pPr>
      <w:r>
        <w:rPr>
          <w:rFonts w:hint="eastAsia" w:eastAsia="黑体"/>
          <w:bCs/>
          <w:sz w:val="36"/>
          <w:szCs w:val="36"/>
        </w:rPr>
        <w:t xml:space="preserve">毕业论文（设计）开题报告   </w:t>
      </w:r>
    </w:p>
    <w:p w14:paraId="5EEDDF6B">
      <w:pPr>
        <w:jc w:val="center"/>
        <w:rPr>
          <w:rFonts w:hint="eastAsia" w:eastAsia="楷体_GB2312"/>
          <w:sz w:val="36"/>
          <w:szCs w:val="36"/>
        </w:rPr>
      </w:pPr>
      <w:r>
        <w:rPr>
          <w:rFonts w:hint="eastAsia" w:ascii="黑体" w:hAnsi="黑体" w:eastAsia="黑体"/>
          <w:caps/>
          <w:sz w:val="36"/>
          <w:szCs w:val="36"/>
        </w:rPr>
        <w:t>双轮足机器人复杂地形盲走运动控制策略研究</w:t>
      </w:r>
    </w:p>
    <w:p w14:paraId="3286E613">
      <w:pPr>
        <w:jc w:val="center"/>
        <w:rPr>
          <w:rFonts w:hint="eastAsia" w:eastAsia="楷体_GB2312"/>
        </w:rPr>
      </w:pPr>
      <w:r>
        <w:rPr>
          <w:rFonts w:hint="eastAsia" w:eastAsia="楷体_GB2312"/>
        </w:rPr>
        <w:t xml:space="preserve">              </w:t>
      </w:r>
    </w:p>
    <w:p w14:paraId="3C8243B7">
      <w:pPr>
        <w:spacing w:line="400" w:lineRule="exact"/>
        <w:ind w:right="113"/>
        <w:jc w:val="left"/>
        <w:rPr>
          <w:rFonts w:hint="eastAsia" w:eastAsia="楷体_GB2312"/>
          <w:sz w:val="32"/>
          <w:szCs w:val="32"/>
        </w:rPr>
      </w:pPr>
      <w:r>
        <w:rPr>
          <w:rFonts w:hint="eastAsia" w:ascii="黑体" w:hAnsi="黑体" w:eastAsia="黑体"/>
          <w:sz w:val="32"/>
          <w:szCs w:val="32"/>
        </w:rPr>
        <w:t>一、课题的目的及意义</w:t>
      </w:r>
    </w:p>
    <w:p w14:paraId="53ABD9F4">
      <w:pPr>
        <w:spacing w:line="400" w:lineRule="exact"/>
        <w:rPr>
          <w:rFonts w:hint="eastAsia" w:ascii="黑体" w:hAnsi="黑体" w:eastAsia="黑体"/>
          <w:sz w:val="30"/>
          <w:szCs w:val="30"/>
        </w:rPr>
      </w:pPr>
      <w:r>
        <w:rPr>
          <w:rFonts w:hint="eastAsia" w:ascii="黑体" w:hAnsi="黑体" w:eastAsia="黑体"/>
          <w:sz w:val="30"/>
          <w:szCs w:val="30"/>
        </w:rPr>
        <w:t>（一）研究背景</w:t>
      </w:r>
    </w:p>
    <w:p w14:paraId="3186BEFE">
      <w:pPr>
        <w:numPr>
          <w:ilvl w:val="0"/>
          <w:numId w:val="1"/>
        </w:numPr>
        <w:spacing w:line="400" w:lineRule="exact"/>
        <w:ind w:left="420" w:leftChars="0" w:firstLine="420" w:firstLineChars="0"/>
        <w:rPr>
          <w:rFonts w:hint="eastAsia" w:ascii="黑体" w:hAnsi="黑体" w:eastAsia="黑体" w:cs="黑体"/>
          <w:sz w:val="28"/>
          <w:szCs w:val="28"/>
        </w:rPr>
      </w:pPr>
      <w:r>
        <w:rPr>
          <w:rFonts w:hint="eastAsia" w:ascii="黑体" w:hAnsi="黑体" w:eastAsia="黑体" w:cs="黑体"/>
          <w:sz w:val="28"/>
          <w:szCs w:val="28"/>
        </w:rPr>
        <w:t>复杂地形环境下机器人运动控制的发展需求</w:t>
      </w:r>
    </w:p>
    <w:p w14:paraId="53FF41EA">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随着机器人技术的不断发展，机器人在野外探测、灾害救援、工业巡检和特殊环境作业等领域的应用需求日益增长。这类应用场景通常具有地形复杂、环境结构不规则以及外部干扰因素多等特点，对机器人的运动控制能力提出了更高要求。传统的平坦地面运动控制方法在面对崎岖不平、坡度变化明显或存在障碍物的复杂地形时，往往难以保证运动的稳定性和安全性。因此，研究适用于复杂地形环境的机器人运动控制方法，提升机器人在非结构化环境中的自主运动能力，已成为机器人领域的重要发展方向之一</w:t>
      </w:r>
      <w:r>
        <w:rPr>
          <w:rFonts w:hint="eastAsia" w:ascii="宋体" w:hAnsi="宋体" w:cs="宋体"/>
          <w:b w:val="0"/>
          <w:bCs w:val="0"/>
          <w:color w:val="000000"/>
          <w:kern w:val="0"/>
          <w:sz w:val="24"/>
          <w:szCs w:val="24"/>
          <w:vertAlign w:val="superscript"/>
          <w:lang w:val="en-US" w:eastAsia="zh-CN" w:bidi="ar"/>
        </w:rPr>
        <w:t>[1-3]</w:t>
      </w:r>
      <w:r>
        <w:rPr>
          <w:rFonts w:hint="eastAsia" w:ascii="宋体" w:hAnsi="宋体" w:eastAsia="宋体" w:cs="宋体"/>
          <w:color w:val="000000"/>
          <w:kern w:val="0"/>
          <w:sz w:val="24"/>
          <w:szCs w:val="24"/>
          <w:lang w:val="en-US" w:eastAsia="zh-CN" w:bidi="ar"/>
        </w:rPr>
        <w:t>。</w:t>
      </w:r>
    </w:p>
    <w:p w14:paraId="51B89362">
      <w:pPr>
        <w:numPr>
          <w:ilvl w:val="0"/>
          <w:numId w:val="2"/>
        </w:numPr>
        <w:tabs>
          <w:tab w:val="clear" w:pos="312"/>
        </w:tabs>
        <w:spacing w:line="400" w:lineRule="exact"/>
        <w:ind w:left="420" w:leftChars="0" w:firstLine="420" w:firstLineChars="0"/>
        <w:rPr>
          <w:rFonts w:hint="eastAsia" w:ascii="黑体" w:hAnsi="黑体" w:eastAsia="黑体" w:cs="黑体"/>
          <w:sz w:val="28"/>
          <w:szCs w:val="28"/>
        </w:rPr>
      </w:pPr>
      <w:r>
        <w:rPr>
          <w:rFonts w:hint="eastAsia" w:ascii="黑体" w:hAnsi="黑体" w:eastAsia="黑体" w:cs="黑体"/>
          <w:sz w:val="28"/>
          <w:szCs w:val="28"/>
        </w:rPr>
        <w:t>轮足机器人在复杂环境中的优势与应用前景</w:t>
      </w:r>
    </w:p>
    <w:p w14:paraId="456CB13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轮足机器人通过将轮式结构与足式结构相结合，兼具轮式机器人运动效率高、能耗低以及足式机器人地形适应能力强的优点，在复杂环境中展现出良好的应用潜力。与传统轮式机器人相比，轮足机器人能够通过足部调节姿态或越过障碍，从而适应更加复杂的地形条件；与纯足式机器人相比，其在平坦或半结构化地形上具有更高的运动效率和更好的续航能力</w:t>
      </w:r>
      <w:r>
        <w:rPr>
          <w:rFonts w:hint="eastAsia" w:ascii="宋体" w:hAnsi="宋体" w:cs="宋体"/>
          <w:color w:val="000000"/>
          <w:kern w:val="0"/>
          <w:sz w:val="24"/>
          <w:szCs w:val="24"/>
          <w:vertAlign w:val="superscript"/>
          <w:lang w:val="en-US" w:eastAsia="zh-CN" w:bidi="ar"/>
        </w:rPr>
        <w:t>[4-5]</w:t>
      </w:r>
      <w:r>
        <w:rPr>
          <w:rFonts w:hint="eastAsia" w:ascii="宋体" w:hAnsi="宋体" w:eastAsia="宋体" w:cs="宋体"/>
          <w:color w:val="000000"/>
          <w:kern w:val="0"/>
          <w:sz w:val="24"/>
          <w:szCs w:val="24"/>
          <w:lang w:val="en-US" w:eastAsia="zh-CN" w:bidi="ar"/>
        </w:rPr>
        <w:t>。因此，轮足机器人在复杂环境巡检、野外勘探以及应急救援等领域具有广阔的应用前景，相关运动控制技术也逐渐成为研究热点。</w:t>
      </w:r>
    </w:p>
    <w:p w14:paraId="050F4741">
      <w:pPr>
        <w:numPr>
          <w:ilvl w:val="0"/>
          <w:numId w:val="2"/>
        </w:numPr>
        <w:tabs>
          <w:tab w:val="clear" w:pos="312"/>
        </w:tabs>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双轮足机器人运动控制面临的主要问题</w:t>
      </w:r>
    </w:p>
    <w:p w14:paraId="54F8E0DF">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尽管双轮足机器人在结构和功能上具有一定优势，但其运动控制仍面临诸多挑战。一方面，双轮足机器人通常具有较高的自由度和非线性动力学特性，在复杂地形条件下容易受到地面不平整、摩擦变化等因素影响，导致控制难度显著增加。另一方面，在未知或感知受限的环境中，传统依赖精确模型和规则设计的控制方法难以适应地形变化，容易出现控制性能下降甚至失稳的问题。此外，如何在保证运动稳定性的同时实现高效行走和越障，也是双轮足机器人运动控制研究中亟待解决的关键问题。</w:t>
      </w:r>
    </w:p>
    <w:p w14:paraId="0D73D1D6">
      <w:pPr>
        <w:spacing w:line="400" w:lineRule="exact"/>
        <w:rPr>
          <w:rFonts w:hint="eastAsia" w:ascii="黑体" w:hAnsi="黑体" w:eastAsia="黑体"/>
          <w:sz w:val="30"/>
          <w:szCs w:val="30"/>
          <w:lang w:val="en-US" w:eastAsia="zh-CN"/>
        </w:rPr>
      </w:pPr>
      <w:r>
        <w:rPr>
          <w:rFonts w:hint="eastAsia" w:ascii="黑体" w:hAnsi="黑体" w:eastAsia="黑体"/>
          <w:sz w:val="30"/>
          <w:szCs w:val="30"/>
        </w:rPr>
        <w:t>（</w:t>
      </w:r>
      <w:r>
        <w:rPr>
          <w:rFonts w:hint="eastAsia" w:ascii="黑体" w:hAnsi="黑体" w:eastAsia="黑体"/>
          <w:sz w:val="30"/>
          <w:szCs w:val="30"/>
          <w:lang w:val="en-US" w:eastAsia="zh-CN"/>
        </w:rPr>
        <w:t>二</w:t>
      </w:r>
      <w:r>
        <w:rPr>
          <w:rFonts w:hint="eastAsia" w:ascii="黑体" w:hAnsi="黑体" w:eastAsia="黑体"/>
          <w:sz w:val="30"/>
          <w:szCs w:val="30"/>
        </w:rPr>
        <w:t>）</w:t>
      </w:r>
      <w:r>
        <w:rPr>
          <w:rFonts w:hint="eastAsia" w:ascii="黑体" w:hAnsi="黑体" w:eastAsia="黑体"/>
          <w:sz w:val="30"/>
          <w:szCs w:val="30"/>
          <w:lang w:val="en-US" w:eastAsia="zh-CN"/>
        </w:rPr>
        <w:t>国内外研究现状分析</w:t>
      </w:r>
    </w:p>
    <w:p w14:paraId="2BC40442">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国外轮足/双轮足机器人研究现状分析</w:t>
      </w:r>
    </w:p>
    <w:p w14:paraId="0E30F3E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在国际机器人研究领域，轮足机器人（wheel-leg/whegs/wheel-legged robots）作为一种兼具轮式和足式优势的移动平台长期受到研究者关注。国外早期研究代表性项目之一是 Whegs 系列机器人，其利用轮-腿结构模仿昆虫足部跨越障碍的运动方式，在复杂地形模拟实验中表现出了较强的运动适应能力。Whegs 方案采用简单的机械结构实现障碍跨越，轮-腿结合结构在保证滚动效率的同时具有一定越障能力，是轮足机器人研究的奠基成果之一。</w:t>
      </w:r>
    </w:p>
    <w:p w14:paraId="48F0FC22">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另一个重要的研究方向是可变形轮-腿结构（transformable wheel-leg mechanisms），这种设计可以在平坦地面以轮式运动为主，在遇到障碍时切换成腿式运动，以提高适应性。有研究提出了多种变形结构与机制方案，并对其运动学、动力学特性进行了分析与性能评估。</w:t>
      </w:r>
    </w:p>
    <w:p w14:paraId="2DE66CB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最近几年，随着深度学习和强化学习算法在运动控制领域的应用扩展，基于学习的方法也开始用于轮足/轮腿机器人运动控制策略设计。例如有研究提出利用强化学习框架实现轮腿机器人在复杂地形中的混合运动规划和控制策略学习，提高了其在未知环境下的适应性和能量效率。</w:t>
      </w:r>
    </w:p>
    <w:p w14:paraId="5DAF8DC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此外，国外一些最新技术尝试还关注融合高自由度机械设计与智能控制，如采用多自由度关节设计提升运动灵活性，结合适应性学习算法提升机器人跨越和稳定性等。</w:t>
      </w:r>
    </w:p>
    <w:p w14:paraId="0AA0B89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4"/>
          <w:szCs w:val="24"/>
          <w:lang w:val="en-US" w:eastAsia="zh-CN"/>
        </w:rPr>
      </w:pPr>
      <w:r>
        <w:rPr>
          <w:rFonts w:hint="eastAsia" w:ascii="宋体" w:hAnsi="宋体" w:eastAsia="宋体" w:cs="宋体"/>
          <w:color w:val="000000"/>
          <w:kern w:val="0"/>
          <w:sz w:val="24"/>
          <w:szCs w:val="24"/>
          <w:lang w:val="en-US" w:eastAsia="zh-CN" w:bidi="ar"/>
        </w:rPr>
        <w:t>总体来看，国外研究在机械结构设计、机电一体化实现、控制策略探索等多个层面均已形成较丰富的研究成果，尤其侧重解决移动平台在复杂环境中的机动性与稳定性问题。</w:t>
      </w:r>
    </w:p>
    <w:p w14:paraId="34ECF3DB">
      <w:pPr>
        <w:numPr>
          <w:ilvl w:val="0"/>
          <w:numId w:val="3"/>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国内轮足/双轮足机器人研究现状分析</w:t>
      </w:r>
    </w:p>
    <w:p w14:paraId="54764F7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国内在轮足机器人及轮腿复合机器人方面的研究近年来也逐步展开，并在控制策略与结构设计方面取得一定成果。中国科研机构和高校围绕轮腿式平衡机器人整体控制、动力学建模与控制器设计等问题开展了相关研究。例如，有研究针对轮腿平衡机器人的整体控制构建了动态模型，并设计了基于 LQR（线性二次调节器）等传统控制方法的平衡控制器</w:t>
      </w:r>
      <w:r>
        <w:rPr>
          <w:rFonts w:hint="eastAsia" w:ascii="宋体" w:hAnsi="宋体" w:cs="宋体"/>
          <w:color w:val="000000"/>
          <w:kern w:val="0"/>
          <w:sz w:val="24"/>
          <w:szCs w:val="24"/>
          <w:vertAlign w:val="superscript"/>
          <w:lang w:val="en-US" w:eastAsia="zh-CN" w:bidi="ar"/>
        </w:rPr>
        <w:t>[6]</w:t>
      </w:r>
      <w:r>
        <w:rPr>
          <w:rFonts w:hint="eastAsia" w:ascii="宋体" w:hAnsi="宋体" w:eastAsia="宋体" w:cs="宋体"/>
          <w:color w:val="000000"/>
          <w:kern w:val="0"/>
          <w:sz w:val="24"/>
          <w:szCs w:val="24"/>
          <w:lang w:val="en-US" w:eastAsia="zh-CN" w:bidi="ar"/>
        </w:rPr>
        <w:t>，对系统稳定性的提升进行了仿真与实验验证。</w:t>
      </w:r>
    </w:p>
    <w:p w14:paraId="7166660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在国内某些轮腿机器人设计研究中，通过建立精确的运动学模型与步态规划方法，实现对机器人的越障行为和稳定步态的合理规划，进而提升机器人在非结构环境下的运动表现。</w:t>
      </w:r>
    </w:p>
    <w:p w14:paraId="09E5917D">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此外，研究还探索了轮腿机器人复杂结构的优化设计，使得机器人能在轮式和腿式两种模式间平稳切换，提高对复杂地形的适应能力。</w:t>
      </w:r>
    </w:p>
    <w:p w14:paraId="74CC3F3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值得注意的是，国内研究目前更多集中于结构设计、运动学建模及传统控制策略研究，在基于数据驱动控制和深度强化学习方面的应用相对较少，与国外在学习型控制策略上的探索相比仍有一定差距。</w:t>
      </w:r>
    </w:p>
    <w:p w14:paraId="14B814B3">
      <w:pPr>
        <w:numPr>
          <w:ilvl w:val="0"/>
          <w:numId w:val="3"/>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现有研究的不足与改进空间</w:t>
      </w:r>
    </w:p>
    <w:p w14:paraId="381FB9C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尽管国内外在轮足/轮腿机器人领域已积累了一定研究基础，但从目前文献和实践情况来看仍存在以下不足：</w:t>
      </w:r>
    </w:p>
    <w:p w14:paraId="00E6ABAF">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控制方法依赖性较强：传统轮腿机器人控制仍多依赖于模型驱动方法，如 PID、LQR 等，这类方法对系统建模精度和参数依赖较高，面对地形复杂度提升时适应性不足</w:t>
      </w:r>
      <w:r>
        <w:rPr>
          <w:rFonts w:hint="eastAsia" w:ascii="宋体" w:hAnsi="宋体" w:cs="宋体"/>
          <w:color w:val="000000"/>
          <w:kern w:val="0"/>
          <w:sz w:val="24"/>
          <w:szCs w:val="24"/>
          <w:vertAlign w:val="superscript"/>
          <w:lang w:val="en-US" w:eastAsia="zh-CN" w:bidi="ar"/>
        </w:rPr>
        <w:t>[7]</w:t>
      </w:r>
      <w:r>
        <w:rPr>
          <w:rFonts w:hint="eastAsia" w:ascii="宋体" w:hAnsi="宋体" w:eastAsia="宋体" w:cs="宋体"/>
          <w:color w:val="000000"/>
          <w:kern w:val="0"/>
          <w:sz w:val="24"/>
          <w:szCs w:val="24"/>
          <w:lang w:val="en-US" w:eastAsia="zh-CN" w:bidi="ar"/>
        </w:rPr>
        <w:t>。</w:t>
      </w:r>
    </w:p>
    <w:p w14:paraId="66124F9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学习型控制研究不足：国外已有少量学习型控制方法应用于轮腿机器人运动控制，但总体数量较少；国内在这一方向的系统性研究尚未成熟。</w:t>
      </w:r>
    </w:p>
    <w:p w14:paraId="6D1119F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泛化能力有待提高：部分研究集中于具体机器人原型或固定环境条件下，缺乏针对不同地形或未知环境的泛化策略。</w:t>
      </w:r>
    </w:p>
    <w:p w14:paraId="255543FF">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运动稳定性和越障能力的统一评价体系不完善：现有工作往往侧重单一性能指标缺乏统一评价体系，尚需构建全面的性能评估框架。</w:t>
      </w:r>
    </w:p>
    <w:p w14:paraId="654D8D5C">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因此，结合深度强化学习方法研究盲走控制策略，针对在未知复杂地形下的运动控制问题展开研究，将有助于突破上述不足，提高机器人在实际应用中的智能性和鲁棒性。这也正是本课题拟解决的关键技术方向。</w:t>
      </w:r>
    </w:p>
    <w:p w14:paraId="4A925FAD">
      <w:pPr>
        <w:spacing w:line="400" w:lineRule="exact"/>
        <w:rPr>
          <w:rFonts w:hint="eastAsia" w:ascii="黑体" w:hAnsi="黑体" w:eastAsia="黑体"/>
          <w:sz w:val="30"/>
          <w:szCs w:val="30"/>
          <w:lang w:val="en-US" w:eastAsia="zh-CN"/>
        </w:rPr>
      </w:pPr>
      <w:r>
        <w:rPr>
          <w:rFonts w:hint="eastAsia" w:ascii="黑体" w:hAnsi="黑体" w:eastAsia="黑体"/>
          <w:sz w:val="30"/>
          <w:szCs w:val="30"/>
        </w:rPr>
        <w:t>（</w:t>
      </w:r>
      <w:r>
        <w:rPr>
          <w:rFonts w:hint="eastAsia" w:ascii="黑体" w:hAnsi="黑体" w:eastAsia="黑体"/>
          <w:sz w:val="30"/>
          <w:szCs w:val="30"/>
          <w:lang w:val="en-US" w:eastAsia="zh-CN"/>
        </w:rPr>
        <w:t>三</w:t>
      </w:r>
      <w:r>
        <w:rPr>
          <w:rFonts w:hint="eastAsia" w:ascii="黑体" w:hAnsi="黑体" w:eastAsia="黑体"/>
          <w:sz w:val="30"/>
          <w:szCs w:val="30"/>
        </w:rPr>
        <w:t>）</w:t>
      </w:r>
      <w:r>
        <w:rPr>
          <w:rFonts w:hint="eastAsia" w:ascii="黑体" w:hAnsi="黑体" w:eastAsia="黑体"/>
          <w:sz w:val="30"/>
          <w:szCs w:val="30"/>
          <w:lang w:val="en-US" w:eastAsia="zh-CN"/>
        </w:rPr>
        <w:t>研究目的</w:t>
      </w:r>
    </w:p>
    <w:p w14:paraId="0A343F78">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提升双轮足机器人复杂地形下的运动稳定性</w:t>
      </w:r>
    </w:p>
    <w:p w14:paraId="1637003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4"/>
          <w:szCs w:val="24"/>
          <w:lang w:val="en-US" w:eastAsia="zh-CN"/>
        </w:rPr>
      </w:pPr>
      <w:r>
        <w:rPr>
          <w:rFonts w:hint="eastAsia" w:ascii="宋体" w:hAnsi="宋体" w:eastAsia="宋体" w:cs="宋体"/>
          <w:color w:val="000000"/>
          <w:kern w:val="0"/>
          <w:sz w:val="24"/>
          <w:szCs w:val="24"/>
          <w:lang w:val="en-US" w:eastAsia="zh-CN" w:bidi="ar"/>
        </w:rPr>
        <w:t>双轮足机器人兼具轮式机器人运动效率高和足式机器人地形适应性强的优点，但其结构复杂、控制自由度高，在复杂地形条件下容易受到地形不连续性、地面高度突变及外部扰动等因素影响，导致姿态波动加剧、平衡能力下降，严重时甚至发生失稳或跌倒现象。因此，有必要针对双轮足机器人在复杂地形下的运动稳定性问题展开系统研究。本课题通过设计合理的运动控制策略，引入多维状态信息（如姿态角、角速度、关节位置及速度等），使机器人在行走、转向和越障过程中能够保持良好的姿态平衡与运动连续性，从而有效提升其在复杂地形环境中的稳定运动能力。</w:t>
      </w:r>
    </w:p>
    <w:p w14:paraId="31968392">
      <w:pPr>
        <w:numPr>
          <w:ilvl w:val="0"/>
          <w:numId w:val="1"/>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探索深度强化学习在盲走运动控制中的可行性</w:t>
      </w:r>
    </w:p>
    <w:p w14:paraId="211C5FE8">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传统机器人运动控制方法通常依赖精确的动力学建模和地形感知信息，在面对未知或复杂环境时，模型误差和感知不完整性往往会显著影响控制效果。为降低对精确环境模型和人工规则设计的依赖，本研究拟引入深度强化学习方法，探索其在双轮足机器人盲走运动控制中的应用潜力。通过构建端到端的学习框架，使机器人仅依赖有限的自身状态和传感器信息，在与环境不断交互的过程中自主学习运动控制策略，逐步掌握稳定行走与越障的行为模式。通过仿真实验验证深度强化学习方法在盲走控制任务中的收敛性、稳定性与鲁棒性，为其在复杂运动控制问题中的应用提供实验依据。</w:t>
      </w:r>
    </w:p>
    <w:p w14:paraId="394A5908">
      <w:pPr>
        <w:numPr>
          <w:ilvl w:val="0"/>
          <w:numId w:val="1"/>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增强机器人对未知复杂环境的适应能力</w:t>
      </w:r>
    </w:p>
    <w:p w14:paraId="25DF27B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实际应用场景中的地形环境具有高度不确定性和多样性，机器人往往难以提前获得完整的环境信息，这对其运动控制与决策能力提出了更高要求。本课题通过在仿真环境中构建多种复杂地形和随机障碍场景，对双轮足机器人进行强化学习训练，使其在不同地形条件下积累丰富的运动经验，从而提升其对未知复杂环境的适应能力。通过分析机器人在不同地形条件下的运动表现，评估所设计控制策略的泛化能力和环境适应能力，为双轮足机器人在复杂真实环境中的自主运动提供理论支撑和方法参考。</w:t>
      </w:r>
    </w:p>
    <w:p w14:paraId="34EA07E3">
      <w:pPr>
        <w:spacing w:line="400" w:lineRule="exact"/>
        <w:rPr>
          <w:rFonts w:hint="eastAsia" w:ascii="黑体" w:hAnsi="黑体" w:eastAsia="黑体"/>
          <w:sz w:val="30"/>
          <w:szCs w:val="30"/>
          <w:lang w:val="en-US" w:eastAsia="zh-CN"/>
        </w:rPr>
      </w:pPr>
      <w:r>
        <w:rPr>
          <w:rFonts w:hint="eastAsia" w:ascii="黑体" w:hAnsi="黑体" w:eastAsia="黑体"/>
          <w:sz w:val="30"/>
          <w:szCs w:val="30"/>
        </w:rPr>
        <w:t>（</w:t>
      </w:r>
      <w:r>
        <w:rPr>
          <w:rFonts w:hint="eastAsia" w:ascii="黑体" w:hAnsi="黑体" w:eastAsia="黑体"/>
          <w:sz w:val="30"/>
          <w:szCs w:val="30"/>
          <w:lang w:val="en-US" w:eastAsia="zh-CN"/>
        </w:rPr>
        <w:t>四</w:t>
      </w:r>
      <w:r>
        <w:rPr>
          <w:rFonts w:hint="eastAsia" w:ascii="黑体" w:hAnsi="黑体" w:eastAsia="黑体"/>
          <w:sz w:val="30"/>
          <w:szCs w:val="30"/>
        </w:rPr>
        <w:t>）</w:t>
      </w:r>
      <w:r>
        <w:rPr>
          <w:rFonts w:hint="eastAsia" w:ascii="黑体" w:hAnsi="黑体" w:eastAsia="黑体"/>
          <w:sz w:val="30"/>
          <w:szCs w:val="30"/>
          <w:lang w:val="en-US" w:eastAsia="zh-CN"/>
        </w:rPr>
        <w:t>方案比较与技术选型分析</w:t>
      </w:r>
    </w:p>
    <w:p w14:paraId="15A80108">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不同运动控制策略的比较分析</w:t>
      </w:r>
    </w:p>
    <w:p w14:paraId="3CB58A1E">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针对双轮足机器人的运动控制问题，常见的控制策略主要包括基于规则的控制方法、基于模型的控制方法以及基于学习的控制方法。基于规则的控制方法通常依赖人工设计的运动规则和经验参数，结构简单、实现成本较低，但在面对复杂地形和不确定环境时，适应能力较弱，难以保证运动的稳定性和通用性。</w:t>
      </w:r>
    </w:p>
    <w:p w14:paraId="764D9BD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模型的控制方法通过建立精确的机器人动力学模型，实现对机器人运动状态的预测与控制，在已知环境和模型条件下具有较高的控制精度。然而，在复杂地形条件下，机器人与地面的接触关系复杂，动力学模型难以精确建立，模型误差容易导致控制性能下降</w:t>
      </w:r>
      <w:r>
        <w:rPr>
          <w:rFonts w:hint="eastAsia" w:ascii="宋体" w:hAnsi="宋体" w:cs="宋体"/>
          <w:color w:val="000000"/>
          <w:kern w:val="0"/>
          <w:sz w:val="24"/>
          <w:szCs w:val="24"/>
          <w:vertAlign w:val="superscript"/>
          <w:lang w:val="en-US" w:eastAsia="zh-CN" w:bidi="ar"/>
        </w:rPr>
        <w:t>[8]</w:t>
      </w:r>
      <w:r>
        <w:rPr>
          <w:rFonts w:hint="eastAsia" w:ascii="宋体" w:hAnsi="宋体" w:eastAsia="宋体" w:cs="宋体"/>
          <w:color w:val="000000"/>
          <w:kern w:val="0"/>
          <w:sz w:val="24"/>
          <w:szCs w:val="24"/>
          <w:lang w:val="en-US" w:eastAsia="zh-CN" w:bidi="ar"/>
        </w:rPr>
        <w:t>。</w:t>
      </w:r>
    </w:p>
    <w:p w14:paraId="66BAD41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相比之下，基于学习的运动控制策略能够通过与环境的交互自主学习运动规律，对复杂非线性系统和不确定环境具有较强的适应能力，适合应用于复杂地形下的机器人运动控制问题。因此，本课题将重点关注基于学习的运动控制策略。</w:t>
      </w:r>
    </w:p>
    <w:p w14:paraId="0337DC32">
      <w:pPr>
        <w:numPr>
          <w:ilvl w:val="0"/>
          <w:numId w:val="4"/>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基于模型控制方法与学习型方法的对比</w:t>
      </w:r>
    </w:p>
    <w:p w14:paraId="30F0D93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模型的控制方法（如PID控制、LQR、模型预测控制等）通常依赖精确的系统模型和环境参数，在理想条件下具有良好的稳定性和可解释性。然而，对于双轮足机器人而言，其运动过程中涉及轮-地接触、足-地接触等多种复杂约束，模型建立和参数辨识难度较大，且环境变化会显著影响控制效果。</w:t>
      </w:r>
    </w:p>
    <w:p w14:paraId="2F4451C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学习型方法，尤其是基于深度强化学习的控制策略，不依赖于精确的动力学模型，而是通过大量交互数据学习状态与动作之间的映射关系。这类方法在复杂地形和未知环境中具有更强的鲁棒性和泛化能力，更适合解决盲走条件下的运动控制问题。因此，在复杂地形盲走任务中，学习型方法相比传统模型控制方法具有明显优势。</w:t>
      </w:r>
    </w:p>
    <w:p w14:paraId="77D752D3">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 深度强化学习算法选型分析</w:t>
      </w:r>
    </w:p>
    <w:p w14:paraId="24E27BF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深度强化学习算法方面，常见的连续控制算法包括DDPG、PPO和SAC等。DDPG算法能够处理连续动作空间，结构相对简单，但对超参数敏感，训练过程中稳定性较差。PPO算法通过引入策略更新约束，提高了训练过程的稳定性，具有实现难度适中、收敛性能较好的特点，在机器人控制领域应用较为广泛。</w:t>
      </w:r>
    </w:p>
    <w:p w14:paraId="4337B4B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SAC算法在策略优化过程中引入最大熵机制，在提升探索能力和鲁棒性方面具有一定优势，但算法结构相对复杂，对计算资源要求较高。综合考虑训练稳定性、实现难度和仿真平台适配性，本课题将优先选用PPO算法作为主要的强化学习方法，并在条件允许的情况下与其他算法进行对比实验分析</w:t>
      </w:r>
      <w:r>
        <w:rPr>
          <w:rFonts w:hint="eastAsia" w:ascii="宋体" w:hAnsi="宋体" w:cs="宋体"/>
          <w:color w:val="000000"/>
          <w:kern w:val="0"/>
          <w:sz w:val="24"/>
          <w:szCs w:val="24"/>
          <w:vertAlign w:val="superscript"/>
          <w:lang w:val="en-US" w:eastAsia="zh-CN" w:bidi="ar"/>
        </w:rPr>
        <w:t>[9]</w:t>
      </w:r>
      <w:r>
        <w:rPr>
          <w:rFonts w:hint="eastAsia" w:ascii="宋体" w:hAnsi="宋体" w:eastAsia="宋体" w:cs="宋体"/>
          <w:color w:val="000000"/>
          <w:kern w:val="0"/>
          <w:sz w:val="24"/>
          <w:szCs w:val="24"/>
          <w:lang w:val="en-US" w:eastAsia="zh-CN" w:bidi="ar"/>
        </w:rPr>
        <w:t>。</w:t>
      </w:r>
    </w:p>
    <w:p w14:paraId="6293A2DE">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 本课题控制策略选择的合理性</w:t>
      </w:r>
    </w:p>
    <w:p w14:paraId="4DBF26E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综合双轮足机器人复杂地形盲走任务的特点，以及不同控制方法和强化学习算法的对比分析，选择基于深度强化学习的运动控制策略具有较高的合理性和可行性。该方法能够在不依赖精确环境模型和外部感知信息的情况下，通过仿真训练获得适应复杂地形的控制策略。</w:t>
      </w:r>
    </w:p>
    <w:p w14:paraId="38A4E0C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同时，基于PPO等成熟强化学习算法的控制方案，具有训练稳定、实现难度适中、已有研究基础丰富等优势，适合在本科毕业设计阶段开展系统研究。通过仿真环境中的训练、测试与对比分析，可以较为全面地验证所选控制策略的有效性，为论文研究目标的实现提供可靠支撑。</w:t>
      </w:r>
    </w:p>
    <w:p w14:paraId="0ED160E0">
      <w:pPr>
        <w:spacing w:line="400" w:lineRule="exact"/>
        <w:rPr>
          <w:rFonts w:hint="eastAsia" w:ascii="黑体" w:hAnsi="黑体" w:eastAsia="黑体"/>
          <w:sz w:val="30"/>
          <w:szCs w:val="30"/>
          <w:lang w:val="en-US" w:eastAsia="zh-CN"/>
        </w:rPr>
      </w:pPr>
      <w:r>
        <w:rPr>
          <w:rFonts w:hint="eastAsia" w:ascii="黑体" w:hAnsi="黑体" w:eastAsia="黑体"/>
          <w:sz w:val="30"/>
          <w:szCs w:val="30"/>
        </w:rPr>
        <w:t>（</w:t>
      </w:r>
      <w:r>
        <w:rPr>
          <w:rFonts w:hint="eastAsia" w:ascii="黑体" w:hAnsi="黑体" w:eastAsia="黑体"/>
          <w:sz w:val="30"/>
          <w:szCs w:val="30"/>
          <w:lang w:val="en-US" w:eastAsia="zh-CN"/>
        </w:rPr>
        <w:t>五</w:t>
      </w:r>
      <w:r>
        <w:rPr>
          <w:rFonts w:hint="eastAsia" w:ascii="黑体" w:hAnsi="黑体" w:eastAsia="黑体"/>
          <w:sz w:val="30"/>
          <w:szCs w:val="30"/>
        </w:rPr>
        <w:t>）</w:t>
      </w:r>
      <w:r>
        <w:rPr>
          <w:rFonts w:hint="eastAsia" w:ascii="黑体" w:hAnsi="黑体" w:eastAsia="黑体"/>
          <w:sz w:val="30"/>
          <w:szCs w:val="30"/>
          <w:lang w:val="en-US" w:eastAsia="zh-CN"/>
        </w:rPr>
        <w:t>研究意义</w:t>
      </w:r>
    </w:p>
    <w:p w14:paraId="5FAD0560">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理论研究意义</w:t>
      </w:r>
    </w:p>
    <w:p w14:paraId="10ABCB74">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研究围绕双轮足机器人在复杂地形条件下的盲走运动控制问题展开，结合轮足机器人动力学特性与深度强化学习理论，对传统基于模型的运动控制方法进行有益补充。通过将深度强化学习引入双轮足机器人运动控制领域，探索机器人在缺乏精确环境感知和先验地形信息条件下的自主学习与决策机制，有助于丰富智能机器人运动控制的理论体系。同时，本研究在状态空间构建、动作空间设计以及奖励函数设置等方面的探索，可为后续相关研究提供可借鉴的建模思路和方法参考，对推动学习型控制方法在复杂机器人系统中的理论研究具有一定的学术价值。</w:t>
      </w:r>
    </w:p>
    <w:p w14:paraId="7A7720C9">
      <w:pPr>
        <w:numPr>
          <w:ilvl w:val="0"/>
          <w:numId w:val="5"/>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工程应用意义</w:t>
      </w:r>
    </w:p>
    <w:p w14:paraId="0E74C5CD">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工程应用层面，双轮足机器人因其兼具轮式与足式运动优势，在巡检、救援、探索等复杂场景中具有广阔的应用前景。然而，复杂地形环境对机器人运动稳定性和环境适应能力提出了较高要求。本研究通过在仿真环境中设计并验证基于深度强化学习的运动控制策略，有助于提高双轮足机器人在未知复杂地形中的自主运动能力和可靠性，为其工程化应用提供技术支持和实验依据。研究成果可为实际机器人系统在复杂环境下的运动控制策略设计提供参考，具有一定的工程推广价值。</w:t>
      </w:r>
    </w:p>
    <w:p w14:paraId="2489AD52">
      <w:pPr>
        <w:numPr>
          <w:ilvl w:val="0"/>
          <w:numId w:val="5"/>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对轮足机器人运动控制研究的促进作用</w:t>
      </w:r>
    </w:p>
    <w:p w14:paraId="2A463EB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研究聚焦于双轮足机器人这一具有代表性的轮足机器人形式，通过系统分析其在复杂地形盲走条件下的运动控制问题，进一步拓展了轮足机器人运动控制研究的应用场景。研究过程中形成的仿真建模方法、控制策略设计思路以及性能评估方式，可为其他类型轮足机器人或足式机器人研究提供借鉴。此外，本研究将深度强化学习与轮足机器人运动控制相结合，有助于推动数据驱动方法在轮足机器人领域的深入应用，对促进该领域相关研究的发展具有积极作用。</w:t>
      </w:r>
    </w:p>
    <w:p w14:paraId="1C34D37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p>
    <w:p w14:paraId="24FDF67D">
      <w:pPr>
        <w:spacing w:line="400" w:lineRule="exact"/>
        <w:rPr>
          <w:rFonts w:hint="eastAsia" w:ascii="黑体" w:hAnsi="黑体" w:eastAsia="黑体"/>
          <w:sz w:val="32"/>
          <w:szCs w:val="32"/>
        </w:rPr>
      </w:pPr>
      <w:r>
        <w:rPr>
          <w:rFonts w:hint="eastAsia" w:ascii="黑体" w:hAnsi="黑体" w:eastAsia="黑体"/>
          <w:sz w:val="32"/>
          <w:szCs w:val="32"/>
        </w:rPr>
        <w:t>二、课题任务、重点研究内容及实现途径</w:t>
      </w:r>
    </w:p>
    <w:p w14:paraId="1C75D9E5">
      <w:pPr>
        <w:spacing w:line="400" w:lineRule="exact"/>
        <w:rPr>
          <w:rFonts w:hint="eastAsia"/>
          <w:b/>
          <w:bCs/>
        </w:rPr>
      </w:pPr>
      <w:r>
        <w:rPr>
          <w:rFonts w:hint="eastAsia" w:ascii="黑体" w:hAnsi="黑体" w:eastAsia="黑体"/>
          <w:sz w:val="30"/>
          <w:szCs w:val="30"/>
        </w:rPr>
        <w:t>（一）课题任务</w:t>
      </w:r>
    </w:p>
    <w:p w14:paraId="78B22745">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双轮足机器人复杂地形盲走控制问题的总体任务描述</w:t>
      </w:r>
    </w:p>
    <w:p w14:paraId="65A6CD1E">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课题以双轮足机器人为研究对象，围绕其在复杂地形条件下的盲走运动控制问题展开研究。所谓“盲走”，是指机器人在缺乏或不依赖高精度外部环境感知（如视觉、激光雷达等）的情况下，主要依靠自身的本体传感器信息（如关节角度、角速度、机体姿态、轮速等），实现稳定、自主的运动控制。</w:t>
      </w:r>
    </w:p>
    <w:p w14:paraId="30A5E2DE">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复杂地形环境中（如不平整地面、台阶、障碍物等），双轮足机器人需要在保持自身动态稳定性的同时，完成行走、越障及姿态调整等运动任务。这对传统基于精确模型和规则设计的控制方法提出了较高挑战。为此，本课题拟引入深度强化学习方法，通过端到端或半端到端的控制策略学习，使机器人能够在不断与环境交互的过程中，自主学习适应复杂地形的运动控制策略。</w:t>
      </w:r>
    </w:p>
    <w:p w14:paraId="16B4185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总体任务目标是：构建适用于双轮足机器人的复杂地形盲走控制问题描述，明确系统状态、动作空间及控制目标，在仿真环境中实现机器人在多种复杂地形下的稳定运动，为后续控制策略研究与性能评估奠定基础。</w:t>
      </w:r>
    </w:p>
    <w:p w14:paraId="267FE96B">
      <w:pPr>
        <w:numPr>
          <w:ilvl w:val="0"/>
          <w:numId w:val="6"/>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基于深度强化学习的运动控制策略设计任务</w:t>
      </w:r>
    </w:p>
    <w:p w14:paraId="6C9A0218">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针对双轮足机器人复杂地形盲走控制问题，课题的核心任务之一是基于深度强化学习方法设计运动控制策略。具体而言，需要结合机器人结构特点和运动需求，合理构建强化学习中的状态空间、动作空间及奖励函数。</w:t>
      </w:r>
    </w:p>
    <w:p w14:paraId="2A80B8FD">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算法层面，选择合适的深度强化学习算法（如PPO、SAC或DDPG等），设计用于连续动作空间控制的策略网络和价值网络结构，使智能体能够根据输入的传感器状态信息，输出合理的关节控制指令或轮速指令。通过不断与仿真环境交互，利用试错机制优化控制策略，提高机器人在复杂地形中的稳定性、通过性和鲁棒性。</w:t>
      </w:r>
    </w:p>
    <w:p w14:paraId="105427DF">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此外，还需围绕训练过程中的关键问题展开研究，包括超参数选择、奖励函数权重设计、训练稳定性及收敛速度等。通过多轮训练与对比实验，不断优化控制策略，使其具备较好的泛化能力，能够适应不同类型的复杂地形环境。</w:t>
      </w:r>
    </w:p>
    <w:p w14:paraId="3B03789F">
      <w:pPr>
        <w:numPr>
          <w:ilvl w:val="0"/>
          <w:numId w:val="6"/>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仿真环境搭建与测试验证任务</w:t>
      </w:r>
    </w:p>
    <w:p w14:paraId="76B4173A">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为验证所设计的运动控制策略的有效性与可行性，需要搭建合理的机器人仿真环境，并开展系统性的测试与验证工作。本课题将基于主流机器人仿真平台（如Isaac Gym、MuJoCo、PyBullet等），建立双轮足机器人的动力学模型和控制接口，确保仿真模型在结构和运动特性上与实际机器人具有较高一致性。</w:t>
      </w:r>
    </w:p>
    <w:p w14:paraId="6B2E945D">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仿真环境中，构建多种典型复杂地形场景，如不平整路面、斜坡、台阶及随机障碍物等，用于训练和测试机器人控制策略。通过对机器人在不同地形条件下的运动表现进行仿真实验，分析其稳定性、通过能力及运动效率等性能指标。</w:t>
      </w:r>
    </w:p>
    <w:p w14:paraId="71ED5F48">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最后，对仿真结果进行整理与分析，总结控制策略在复杂地形盲走任务中的优势与不足，为后续算法优化和论文撰写提供实验依据。</w:t>
      </w:r>
    </w:p>
    <w:p w14:paraId="1CE85850">
      <w:pPr>
        <w:spacing w:line="400" w:lineRule="exact"/>
        <w:rPr>
          <w:rFonts w:hint="eastAsia" w:ascii="黑体" w:hAnsi="黑体" w:eastAsia="黑体"/>
          <w:sz w:val="30"/>
          <w:szCs w:val="30"/>
        </w:rPr>
      </w:pPr>
      <w:r>
        <w:rPr>
          <w:rFonts w:hint="eastAsia" w:ascii="黑体" w:hAnsi="黑体" w:eastAsia="黑体"/>
          <w:sz w:val="30"/>
          <w:szCs w:val="30"/>
        </w:rPr>
        <w:t>（</w:t>
      </w:r>
      <w:r>
        <w:rPr>
          <w:rFonts w:hint="eastAsia" w:ascii="黑体" w:hAnsi="黑体" w:eastAsia="黑体"/>
          <w:sz w:val="30"/>
          <w:szCs w:val="30"/>
          <w:lang w:val="en-US" w:eastAsia="zh-CN"/>
        </w:rPr>
        <w:t>二</w:t>
      </w:r>
      <w:r>
        <w:rPr>
          <w:rFonts w:hint="eastAsia" w:ascii="黑体" w:hAnsi="黑体" w:eastAsia="黑体"/>
          <w:sz w:val="30"/>
          <w:szCs w:val="30"/>
        </w:rPr>
        <w:t>）重点研究内容</w:t>
      </w:r>
    </w:p>
    <w:p w14:paraId="1B89301E">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双轮足机器人运动学与状态表征建模</w:t>
      </w:r>
    </w:p>
    <w:p w14:paraId="545AA13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围绕双轮足机器人的结构特点和运动形式，对其基本运动学关系进行分析，明确机器人在行走和越障过程中涉及的关键状态变量。在不依赖外部环境感知的盲走条件下，重点关注机器人本体传感器可获取的信息，如机体姿态角、角速度、关节角度与角速度、轮速等。</w:t>
      </w:r>
    </w:p>
    <w:p w14:paraId="31258DB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此基础上，构建适用于深度强化学习的状态表征模型，将机器人运动状态进行合理抽象和归一化处理，形成能够反映机器人动态行为和稳定性特征的状态向量。该状态表征模型将作为强化学习算法的输入基础，为后续运动控制策略的学习提供必要的信息支持。</w:t>
      </w:r>
    </w:p>
    <w:p w14:paraId="11165F25">
      <w:pPr>
        <w:numPr>
          <w:ilvl w:val="0"/>
          <w:numId w:val="7"/>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复杂地形仿真环境的构建与参数设置</w:t>
      </w:r>
    </w:p>
    <w:p w14:paraId="7CCDD1A4">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基于机器人仿真平台，搭建双轮足机器人的仿真模型及其运动环境。通过合理设置机器人动力学参数（如质量分布、关节约束、摩擦系数等），保证仿真模型在运动特性上具有较好的真实性和稳定性。</w:t>
      </w:r>
    </w:p>
    <w:p w14:paraId="0B618EF2">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环境构建方面，设计多种典型复杂地形场景，包括不平整地面、坡面、台阶及随机障碍物等，并通过调整地形高度、坡度、间距等参数，形成具有不同难度等级的训练与测试环境。同时，通过随机化部分环境参数，提高仿真环境的多样性，为控制策略的泛化能力提供支撑。</w:t>
      </w:r>
    </w:p>
    <w:p w14:paraId="65EDEA07">
      <w:pPr>
        <w:numPr>
          <w:ilvl w:val="0"/>
          <w:numId w:val="7"/>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深度强化学习运动控制算法的设计</w:t>
      </w:r>
    </w:p>
    <w:p w14:paraId="4B34FAA4">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针对双轮足机器人复杂地形盲走任务的连续控制特点，研究并选取合适的深度强化学习算法，如近端策略优化（PPO）、软演员-评论家（SAC）或深度确定性策略梯度（DDPG）等方法</w:t>
      </w:r>
      <w:r>
        <w:rPr>
          <w:rFonts w:hint="eastAsia" w:ascii="宋体" w:hAnsi="宋体" w:cs="宋体"/>
          <w:color w:val="000000"/>
          <w:kern w:val="0"/>
          <w:sz w:val="24"/>
          <w:szCs w:val="24"/>
          <w:vertAlign w:val="superscript"/>
          <w:lang w:val="en-US" w:eastAsia="zh-CN" w:bidi="ar"/>
        </w:rPr>
        <w:t>[10-11]</w:t>
      </w:r>
      <w:r>
        <w:rPr>
          <w:rFonts w:hint="eastAsia" w:ascii="宋体" w:hAnsi="宋体" w:eastAsia="宋体" w:cs="宋体"/>
          <w:color w:val="000000"/>
          <w:kern w:val="0"/>
          <w:sz w:val="24"/>
          <w:szCs w:val="24"/>
          <w:lang w:val="en-US" w:eastAsia="zh-CN" w:bidi="ar"/>
        </w:rPr>
        <w:t>。</w:t>
      </w:r>
    </w:p>
    <w:p w14:paraId="5943211C">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算法设计过程中，明确智能体与环境的交互方式，定义状态、动作与奖励之间的关系，使强化学习算法能够通过不断试错学习到稳定有效的运动控制策略。同时，结合机器人运动控制的实际需求，对算法的训练流程和更新机制进行合理设计，以提高策略学习的效率和稳定性。</w:t>
      </w:r>
    </w:p>
    <w:p w14:paraId="49A9DCE3">
      <w:pPr>
        <w:numPr>
          <w:ilvl w:val="0"/>
          <w:numId w:val="7"/>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神经网络结构与输入输出变量设计</w:t>
      </w:r>
    </w:p>
    <w:p w14:paraId="113EC3B8">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结合强化学习算法的特点和双轮足机器人的控制需求，设计合适的神经网络结构作为策略网络和价值网络。网络输入主要由机器人状态表征模型中的各类状态变量构成，输出为对应的控制指令，如关节目标位置、关节速度或轮速等连续动作变量。</w:t>
      </w:r>
    </w:p>
    <w:p w14:paraId="5E4E10C9">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网络结构设计中，通过调整网络层数、隐藏层神经元数量及激活函数形式，使网络具备足够的表达能力，同时避免过拟合或训练不稳定的问题。此外，对输入输出变量进行归一化与尺度匹配处理，以提高网络训练的收敛速度和控制性能。</w:t>
      </w:r>
    </w:p>
    <w:p w14:paraId="213E8134">
      <w:pPr>
        <w:numPr>
          <w:ilvl w:val="0"/>
          <w:numId w:val="7"/>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奖励函数与训练策略设计</w:t>
      </w:r>
    </w:p>
    <w:p w14:paraId="2028288D">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奖励函数是强化学习控制策略学习的关键因素之一。本课题将围绕机器人运动稳定性、前进效率、能耗及安全性等指标，设计多目标加权的奖励函数，引导机器人在复杂地形中形成合理的运动行为。</w:t>
      </w:r>
    </w:p>
    <w:p w14:paraId="30E63C2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在训练策略方面，通过课程学习（Curriculum Learning）或逐步增加地形难度的方式，使机器人由简单场景逐步过渡到复杂环境，降低训练难度并提高策略的收敛性。同时，通过调整训练轮数、学习率、折扣因子等超参数，优化训练过程，提高策略的稳定性和泛化能力</w:t>
      </w:r>
      <w:r>
        <w:rPr>
          <w:rFonts w:hint="eastAsia" w:ascii="宋体" w:hAnsi="宋体" w:cs="宋体"/>
          <w:color w:val="000000"/>
          <w:kern w:val="0"/>
          <w:sz w:val="24"/>
          <w:szCs w:val="24"/>
          <w:vertAlign w:val="superscript"/>
          <w:lang w:val="en-US" w:eastAsia="zh-CN" w:bidi="ar"/>
        </w:rPr>
        <w:t>[12-14]</w:t>
      </w:r>
      <w:r>
        <w:rPr>
          <w:rFonts w:hint="eastAsia" w:ascii="宋体" w:hAnsi="宋体" w:eastAsia="宋体" w:cs="宋体"/>
          <w:color w:val="000000"/>
          <w:kern w:val="0"/>
          <w:sz w:val="24"/>
          <w:szCs w:val="24"/>
          <w:lang w:val="en-US" w:eastAsia="zh-CN" w:bidi="ar"/>
        </w:rPr>
        <w:t>。</w:t>
      </w:r>
    </w:p>
    <w:p w14:paraId="08B3CC98">
      <w:pPr>
        <w:numPr>
          <w:ilvl w:val="0"/>
          <w:numId w:val="7"/>
        </w:numPr>
        <w:spacing w:line="400" w:lineRule="exact"/>
        <w:ind w:left="420" w:leftChars="0" w:firstLine="420" w:firstLineChars="0"/>
        <w:rPr>
          <w:rFonts w:hint="eastAsia" w:ascii="宋体" w:hAnsi="宋体" w:eastAsia="宋体" w:cs="宋体"/>
          <w:color w:val="000000"/>
          <w:kern w:val="0"/>
          <w:sz w:val="24"/>
          <w:szCs w:val="24"/>
          <w:lang w:val="en-US" w:eastAsia="zh-CN" w:bidi="ar"/>
        </w:rPr>
      </w:pPr>
      <w:r>
        <w:rPr>
          <w:rFonts w:hint="eastAsia" w:ascii="黑体" w:hAnsi="黑体" w:eastAsia="黑体" w:cs="黑体"/>
          <w:sz w:val="28"/>
          <w:szCs w:val="28"/>
          <w:lang w:val="en-US" w:eastAsia="zh-CN"/>
        </w:rPr>
        <w:t>控制策略性能评估与对比分析</w:t>
      </w:r>
    </w:p>
    <w:p w14:paraId="7C8F2029">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完成控制策略训练后，通过仿真实验对所提出的运动控制策略进行系统性的性能评估。选取典型复杂地形作为测试场景，从机器人运动稳定性、通过成功率、行走速度及姿态波动等方面，对控制效果进行定量分析。</w:t>
      </w:r>
    </w:p>
    <w:p w14:paraId="21371BFA">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同时，将所设计的强化学习控制策略与不同训练参数或不同算法下的控制结果进行对比，分析各方法在复杂地形盲走任务中的优劣与适用性。通过对实验结果的整理与分析，总结控制策略的性能特点，为论文结论与后续研究提供依据。</w:t>
      </w:r>
    </w:p>
    <w:p w14:paraId="58454C8A">
      <w:pPr>
        <w:spacing w:line="400" w:lineRule="exact"/>
        <w:rPr>
          <w:rFonts w:hint="eastAsia"/>
          <w:b/>
          <w:bCs/>
        </w:rPr>
      </w:pPr>
      <w:r>
        <w:rPr>
          <w:rFonts w:hint="eastAsia" w:ascii="黑体" w:hAnsi="黑体" w:eastAsia="黑体"/>
          <w:sz w:val="30"/>
          <w:szCs w:val="30"/>
        </w:rPr>
        <w:t>（</w:t>
      </w:r>
      <w:r>
        <w:rPr>
          <w:rFonts w:hint="eastAsia" w:ascii="黑体" w:hAnsi="黑体" w:eastAsia="黑体"/>
          <w:sz w:val="30"/>
          <w:szCs w:val="30"/>
          <w:lang w:val="en-US" w:eastAsia="zh-CN"/>
        </w:rPr>
        <w:t>三</w:t>
      </w:r>
      <w:r>
        <w:rPr>
          <w:rFonts w:hint="eastAsia" w:ascii="黑体" w:hAnsi="黑体" w:eastAsia="黑体"/>
          <w:sz w:val="30"/>
          <w:szCs w:val="30"/>
        </w:rPr>
        <w:t>）实现途径与技术路线</w:t>
      </w:r>
    </w:p>
    <w:p w14:paraId="40205C3F">
      <w:p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仿真平台与开发工具的选用</w:t>
      </w:r>
    </w:p>
    <w:p w14:paraId="49AC854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本课题采用成熟的机器人仿真平台作为双轮足机器人运动控制策略研究的基础环境。结合强化学习训练效率和动力学仿真精度等需求，选用 Isaac Gym、MuJoCo 或 PyBullet 等仿真平台之一，完成双轮足机器人的动力学建模及复杂地形环境搭建</w:t>
      </w:r>
      <w:r>
        <w:rPr>
          <w:rFonts w:hint="eastAsia" w:ascii="宋体" w:hAnsi="宋体" w:cs="宋体"/>
          <w:color w:val="000000"/>
          <w:kern w:val="0"/>
          <w:sz w:val="24"/>
          <w:szCs w:val="24"/>
          <w:vertAlign w:val="superscript"/>
          <w:lang w:val="en-US" w:eastAsia="zh-CN" w:bidi="ar"/>
        </w:rPr>
        <w:t>[15-16]</w:t>
      </w:r>
      <w:r>
        <w:rPr>
          <w:rFonts w:hint="eastAsia" w:ascii="宋体" w:hAnsi="宋体" w:eastAsia="宋体" w:cs="宋体"/>
          <w:color w:val="000000"/>
          <w:kern w:val="0"/>
          <w:sz w:val="24"/>
          <w:szCs w:val="24"/>
          <w:lang w:val="en-US" w:eastAsia="zh-CN" w:bidi="ar"/>
        </w:rPr>
        <w:t>。</w:t>
      </w:r>
    </w:p>
    <w:p w14:paraId="615E1A0A">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在开发工具方面，采用 Python 作为主要开发语言，结合 PyTorch 等深度学习框架实现强化学习算法与神经网络模型的构建与训练。通过仿真平台提供的接口，实现机器人状态信息的实时获取和控制指令的发送，从而构建完整的“仿真环境—强化学习算法—控制策略”闭环系统。</w:t>
      </w:r>
    </w:p>
    <w:p w14:paraId="57B40621">
      <w:pPr>
        <w:numPr>
          <w:ilvl w:val="0"/>
          <w:numId w:val="8"/>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训练数据获取与状态信息构建方式</w:t>
      </w:r>
    </w:p>
    <w:p w14:paraId="6278807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强化学习训练过程中，训练数据主要来源于机器人与仿真环境的交互过程。通过仿真平台实时采集机器人本体传感器相关信息，如机体姿态角、角速度、关节角度与角速度、轮速等，作为强化学习模型的状态输入。</w:t>
      </w:r>
    </w:p>
    <w:p w14:paraId="681790C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状态信息构建方面，对原始传感器数据进行筛选、组合和归一化处理，构建能够反映机器人运动状态和稳定性特征的状态向量。同时，在盲走条件下避免引入显式的环境几何信息，使状态输入更加贴近无外部感知的实际应用场景，从而增强控制策略的泛化能力和鲁棒性。</w:t>
      </w:r>
    </w:p>
    <w:p w14:paraId="5419C0AC">
      <w:pPr>
        <w:numPr>
          <w:ilvl w:val="0"/>
          <w:numId w:val="8"/>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强化学习模型训练流程</w:t>
      </w:r>
    </w:p>
    <w:p w14:paraId="456B237C">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强化学习模型的训练流程主要包括环境初始化、状态采集、动作输出、环境反馈和策略更新等环节。首先在仿真环境中初始化机器人姿态和地形参数，随后由策略网络根据当前状态输出连续动作控制指令，驱动机器人完成运动。</w:t>
      </w:r>
    </w:p>
    <w:p w14:paraId="20BF34C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仿真环境根据机器人动作反馈新的状态和奖励信号，强化学习算法利用采集到的交互数据对策略网络和价值网络进行迭代更新。通过多轮训练，不断优化控制策略，使机器人逐步学会在复杂地形中保持稳定行走和越障能力，直至策略收敛并达到预期性能要求。</w:t>
      </w:r>
    </w:p>
    <w:p w14:paraId="7FAF0EAC">
      <w:pPr>
        <w:numPr>
          <w:ilvl w:val="0"/>
          <w:numId w:val="8"/>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控制策略测试与结果分析方法</w:t>
      </w:r>
    </w:p>
    <w:p w14:paraId="78991767">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在完成控制策略训练后，通过独立的仿真实验对控制策略进行测试验证。选取不同类型和不同难度等级的复杂地形场景，对机器人在盲走条件下的运动表现进行测试，重点观察其稳定性、通过能力及运动连续性。</w:t>
      </w:r>
    </w:p>
    <w:p w14:paraId="3950B90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黑体" w:hAnsi="黑体" w:eastAsia="黑体" w:cs="黑体"/>
          <w:sz w:val="28"/>
          <w:szCs w:val="28"/>
          <w:lang w:val="en-US" w:eastAsia="zh-CN"/>
        </w:rPr>
      </w:pPr>
      <w:r>
        <w:rPr>
          <w:rFonts w:hint="eastAsia" w:ascii="宋体" w:hAnsi="宋体" w:eastAsia="宋体" w:cs="宋体"/>
          <w:color w:val="000000"/>
          <w:kern w:val="0"/>
          <w:sz w:val="24"/>
          <w:szCs w:val="24"/>
          <w:lang w:val="en-US" w:eastAsia="zh-CN" w:bidi="ar"/>
        </w:rPr>
        <w:t>在结果分析方面，通过记录机器人运动轨迹、姿态变化、关节控制量及奖励曲线等数据，对控制策略的性能进行定量分析。同时，结合仿真视频和关键指标变化，对机器人在典型场景中的运动行为进行定性分析，以全面评估控制策略的有效性。</w:t>
      </w:r>
    </w:p>
    <w:p w14:paraId="656393E1">
      <w:pPr>
        <w:numPr>
          <w:ilvl w:val="0"/>
          <w:numId w:val="8"/>
        </w:numPr>
        <w:spacing w:line="400" w:lineRule="exact"/>
        <w:ind w:left="420" w:leftChars="0" w:firstLine="42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模型优化与参数调整途径</w:t>
      </w:r>
    </w:p>
    <w:p w14:paraId="5E5E55F4">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针对训练过程中可能出现的收敛速度慢、策略不稳定或性能不足等问题，通过多种途径对模型进行优化与调整。一方面，通过调整强化学习算法的超参数，如学习率、折扣因子、批量大小等，改善训练稳定性和效率。</w:t>
      </w:r>
    </w:p>
    <w:p w14:paraId="59327F7C">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sz w:val="24"/>
        </w:rPr>
      </w:pPr>
      <w:r>
        <w:rPr>
          <w:rFonts w:hint="eastAsia" w:ascii="宋体" w:hAnsi="宋体" w:eastAsia="宋体" w:cs="宋体"/>
          <w:color w:val="000000"/>
          <w:kern w:val="0"/>
          <w:sz w:val="24"/>
          <w:szCs w:val="24"/>
          <w:lang w:val="en-US" w:eastAsia="zh-CN" w:bidi="ar"/>
        </w:rPr>
        <w:t>另一方面，通过优化神经网络结构、状态输入组合及奖励函数权重分配，引导机器人形成更加合理的运动策略。同时，结合训练结果不断进行参数调优和对比实验，逐步提升控制策略在复杂地形盲走任务中的整体性能和鲁棒性。</w:t>
      </w:r>
    </w:p>
    <w:p w14:paraId="39EC47F8">
      <w:pPr>
        <w:jc w:val="center"/>
        <w:rPr>
          <w:rFonts w:hint="eastAsia" w:eastAsia="楷体_GB2312"/>
        </w:rPr>
      </w:pPr>
    </w:p>
    <w:p w14:paraId="07D3092D">
      <w:pPr>
        <w:spacing w:line="400" w:lineRule="exact"/>
        <w:rPr>
          <w:rFonts w:ascii="楷体" w:hAnsi="楷体" w:eastAsia="楷体"/>
        </w:rPr>
      </w:pPr>
      <w:r>
        <w:rPr>
          <w:rFonts w:ascii="黑体" w:hAnsi="黑体" w:eastAsia="黑体"/>
          <w:sz w:val="28"/>
          <w:szCs w:val="28"/>
        </w:rPr>
        <w:t>参考文献</w:t>
      </w:r>
      <w:r>
        <w:rPr>
          <w:rFonts w:hint="eastAsia" w:ascii="黑体" w:hAnsi="黑体" w:eastAsia="黑体"/>
          <w:sz w:val="28"/>
          <w:szCs w:val="28"/>
        </w:rPr>
        <w:t>：</w:t>
      </w:r>
    </w:p>
    <w:p w14:paraId="06DE778B">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ascii="楷体" w:hAnsi="楷体" w:eastAsia="楷体"/>
          <w:color w:val="0000FF"/>
          <w:sz w:val="24"/>
        </w:rPr>
      </w:pPr>
      <w:r>
        <w:rPr>
          <w:szCs w:val="21"/>
        </w:rPr>
        <w:t xml:space="preserve">[1] </w:t>
      </w:r>
      <w:r>
        <w:rPr>
          <w:rFonts w:hint="eastAsia" w:asciiTheme="minorEastAsia" w:hAnsiTheme="minorEastAsia" w:eastAsiaTheme="minorEastAsia" w:cstheme="minorEastAsia"/>
          <w:szCs w:val="21"/>
        </w:rPr>
        <w:t xml:space="preserve">李龙飞,朱凌云,苟向锋.可穿戴下肢外骨骼康复机器人研究现状与发展趋势[J].医疗卫生装备,2019,40(12):89-97. </w:t>
      </w:r>
      <w:r>
        <w:rPr>
          <w:rFonts w:hint="eastAsia"/>
          <w:szCs w:val="21"/>
        </w:rPr>
        <w:t xml:space="preserve">       </w:t>
      </w:r>
    </w:p>
    <w:p w14:paraId="69D2E6D7">
      <w:pPr>
        <w:spacing w:line="400" w:lineRule="exact"/>
        <w:ind w:left="420" w:hanging="420" w:hangingChars="200"/>
        <w:rPr>
          <w:rFonts w:hint="eastAsia"/>
          <w:szCs w:val="21"/>
        </w:rPr>
      </w:pPr>
      <w:r>
        <w:rPr>
          <w:szCs w:val="21"/>
        </w:rPr>
        <w:t>[2]</w:t>
      </w:r>
      <w:r>
        <w:rPr>
          <w:rFonts w:hint="eastAsia"/>
          <w:szCs w:val="21"/>
          <w:lang w:val="en-US" w:eastAsia="zh-CN"/>
        </w:rPr>
        <w:t xml:space="preserve"> </w:t>
      </w:r>
      <w:r>
        <w:rPr>
          <w:rFonts w:hint="eastAsia"/>
          <w:szCs w:val="21"/>
        </w:rPr>
        <w:t>王洪斌,尹鹏衡,郑维,等.基于改进的A*算法与动态窗口法的移动机器人路径规划[J].机器人,2020,42(3):346-353.</w:t>
      </w:r>
    </w:p>
    <w:p w14:paraId="31484430">
      <w:pPr>
        <w:spacing w:line="400" w:lineRule="exact"/>
        <w:ind w:left="420" w:hanging="420" w:hangingChars="200"/>
        <w:rPr>
          <w:rFonts w:hint="eastAsia"/>
          <w:szCs w:val="21"/>
        </w:rPr>
      </w:pPr>
      <w:r>
        <w:rPr>
          <w:szCs w:val="21"/>
        </w:rPr>
        <w:t>[</w:t>
      </w:r>
      <w:r>
        <w:rPr>
          <w:rFonts w:hint="eastAsia"/>
          <w:szCs w:val="21"/>
          <w:lang w:val="en-US" w:eastAsia="zh-CN"/>
        </w:rPr>
        <w:t>3</w:t>
      </w:r>
      <w:r>
        <w:rPr>
          <w:szCs w:val="21"/>
        </w:rPr>
        <w:t>]</w:t>
      </w:r>
      <w:r>
        <w:rPr>
          <w:rFonts w:hint="eastAsia"/>
          <w:szCs w:val="21"/>
          <w:lang w:val="en-US" w:eastAsia="zh-CN"/>
        </w:rPr>
        <w:t xml:space="preserve"> 马璐,刘成菊,林立民,等.基于 AM-RPPO 的双足机器人适应性行走控制算法[J].机器人,2019,41(6):731-741.</w:t>
      </w:r>
    </w:p>
    <w:p w14:paraId="3B5FC195">
      <w:pPr>
        <w:spacing w:line="400" w:lineRule="exact"/>
        <w:ind w:left="420" w:hanging="420" w:hangingChars="200"/>
        <w:rPr>
          <w:szCs w:val="21"/>
        </w:rPr>
      </w:pPr>
      <w:r>
        <w:rPr>
          <w:szCs w:val="21"/>
        </w:rPr>
        <w:t>[</w:t>
      </w:r>
      <w:r>
        <w:rPr>
          <w:rFonts w:hint="eastAsia"/>
          <w:szCs w:val="21"/>
          <w:lang w:val="en-US" w:eastAsia="zh-CN"/>
        </w:rPr>
        <w:t>4</w:t>
      </w:r>
      <w:r>
        <w:rPr>
          <w:szCs w:val="21"/>
        </w:rPr>
        <w:t>]</w:t>
      </w:r>
      <w:r>
        <w:rPr>
          <w:rFonts w:hint="eastAsia"/>
          <w:szCs w:val="21"/>
          <w:lang w:val="en-US" w:eastAsia="zh-CN"/>
        </w:rPr>
        <w:t xml:space="preserve"> </w:t>
      </w:r>
      <w:r>
        <w:rPr>
          <w:rFonts w:hint="eastAsia"/>
          <w:szCs w:val="21"/>
        </w:rPr>
        <w:t>Tian,Y.,Gao,F.:Efficient motion generation for a six-legged robot walking on irregular terrain via integrated foothold selection and optimizationbased wholebody planning. Robotica 36(3),333-352 (2018).</w:t>
      </w:r>
    </w:p>
    <w:p w14:paraId="230DC648">
      <w:pPr>
        <w:spacing w:line="400" w:lineRule="exact"/>
        <w:ind w:left="420" w:hanging="420" w:hangingChars="200"/>
        <w:rPr>
          <w:rFonts w:hint="eastAsia" w:eastAsia="宋体"/>
          <w:szCs w:val="21"/>
          <w:lang w:val="en-US" w:eastAsia="zh-CN"/>
        </w:rPr>
      </w:pPr>
      <w:r>
        <w:rPr>
          <w:szCs w:val="21"/>
        </w:rPr>
        <w:t>[</w:t>
      </w:r>
      <w:r>
        <w:rPr>
          <w:rFonts w:hint="eastAsia"/>
          <w:szCs w:val="21"/>
          <w:lang w:val="en-US" w:eastAsia="zh-CN"/>
        </w:rPr>
        <w:t>5</w:t>
      </w:r>
      <w:r>
        <w:rPr>
          <w:szCs w:val="21"/>
        </w:rPr>
        <w:t>]</w:t>
      </w:r>
      <w:r>
        <w:rPr>
          <w:rFonts w:hint="eastAsia"/>
          <w:szCs w:val="21"/>
          <w:lang w:val="en-US" w:eastAsia="zh-CN"/>
        </w:rPr>
        <w:t xml:space="preserve"> Chai,H.,et al.:A survey of the development of quadruped robots:joint configuration,dynamic locomotion control method and mobile manipulation approach. Biomimetic Intell. Robot. 2(1),100029 (2022).</w:t>
      </w:r>
    </w:p>
    <w:p w14:paraId="11E356C8">
      <w:pPr>
        <w:spacing w:line="400" w:lineRule="exact"/>
        <w:ind w:left="420" w:hanging="420" w:hangingChars="200"/>
        <w:rPr>
          <w:szCs w:val="21"/>
        </w:rPr>
      </w:pPr>
      <w:r>
        <w:rPr>
          <w:szCs w:val="21"/>
        </w:rPr>
        <w:t>[</w:t>
      </w:r>
      <w:r>
        <w:rPr>
          <w:rFonts w:hint="eastAsia"/>
          <w:szCs w:val="21"/>
          <w:lang w:val="en-US" w:eastAsia="zh-CN"/>
        </w:rPr>
        <w:t>6</w:t>
      </w:r>
      <w:r>
        <w:rPr>
          <w:szCs w:val="21"/>
        </w:rPr>
        <w:t>]</w:t>
      </w:r>
      <w:r>
        <w:rPr>
          <w:rFonts w:hint="eastAsia"/>
          <w:szCs w:val="21"/>
          <w:lang w:val="en-US" w:eastAsia="zh-CN"/>
        </w:rPr>
        <w:t xml:space="preserve"> </w:t>
      </w:r>
      <w:r>
        <w:rPr>
          <w:rFonts w:hint="eastAsia"/>
          <w:szCs w:val="21"/>
        </w:rPr>
        <w:t>Zhou H , Li X , Feng H , et al. Model Decoupling and Control of the Wheeled Humanoid Robot Moving in Sagittal Plane[C]. IEEE, 2019:1-6.</w:t>
      </w:r>
    </w:p>
    <w:p w14:paraId="13168B92">
      <w:pPr>
        <w:spacing w:line="400" w:lineRule="exact"/>
        <w:ind w:left="420" w:hanging="420" w:hangingChars="200"/>
        <w:rPr>
          <w:szCs w:val="21"/>
        </w:rPr>
      </w:pPr>
      <w:r>
        <w:rPr>
          <w:szCs w:val="21"/>
        </w:rPr>
        <w:t>[</w:t>
      </w:r>
      <w:r>
        <w:rPr>
          <w:rFonts w:hint="eastAsia"/>
          <w:szCs w:val="21"/>
          <w:lang w:val="en-US" w:eastAsia="zh-CN"/>
        </w:rPr>
        <w:t>7</w:t>
      </w:r>
      <w:r>
        <w:rPr>
          <w:szCs w:val="21"/>
        </w:rPr>
        <w:t>]</w:t>
      </w:r>
      <w:r>
        <w:rPr>
          <w:rFonts w:hint="eastAsia"/>
          <w:szCs w:val="21"/>
          <w:lang w:val="en-US" w:eastAsia="zh-CN"/>
        </w:rPr>
        <w:t xml:space="preserve"> </w:t>
      </w:r>
      <w:r>
        <w:rPr>
          <w:rFonts w:hint="eastAsia"/>
          <w:szCs w:val="21"/>
        </w:rPr>
        <w:t>李照祥. 自适应动态规划及最优输出调节理论在两轮轮腿式机器人上的应用研究[D]. 荆州：长江大学，2023.</w:t>
      </w:r>
    </w:p>
    <w:p w14:paraId="578D6151">
      <w:pPr>
        <w:spacing w:line="400" w:lineRule="exact"/>
        <w:ind w:left="420" w:hanging="420" w:hangingChars="200"/>
        <w:rPr>
          <w:szCs w:val="21"/>
        </w:rPr>
      </w:pPr>
      <w:r>
        <w:rPr>
          <w:szCs w:val="21"/>
        </w:rPr>
        <w:t>[</w:t>
      </w:r>
      <w:r>
        <w:rPr>
          <w:rFonts w:hint="eastAsia"/>
          <w:szCs w:val="21"/>
          <w:lang w:val="en-US" w:eastAsia="zh-CN"/>
        </w:rPr>
        <w:t>8</w:t>
      </w:r>
      <w:r>
        <w:rPr>
          <w:szCs w:val="21"/>
        </w:rPr>
        <w:t>]</w:t>
      </w:r>
      <w:r>
        <w:rPr>
          <w:rFonts w:hint="eastAsia"/>
          <w:szCs w:val="21"/>
          <w:lang w:val="en-US" w:eastAsia="zh-CN"/>
        </w:rPr>
        <w:t xml:space="preserve"> </w:t>
      </w:r>
      <w:r>
        <w:rPr>
          <w:rFonts w:hint="eastAsia"/>
          <w:szCs w:val="21"/>
        </w:rPr>
        <w:t>YANG C, KOMURA T, LI Z.Emergence of human-comparable balancing behaviours by deep reinforcement learning[C]//2017 IEEE-RAS 17th InternationalConference on Humanoid Robotics (Humanoids).IEEE, 2017: 372-377.</w:t>
      </w:r>
    </w:p>
    <w:p w14:paraId="5AD2B113">
      <w:pPr>
        <w:spacing w:line="400" w:lineRule="exact"/>
        <w:ind w:left="420" w:hanging="420" w:hangingChars="200"/>
        <w:rPr>
          <w:szCs w:val="21"/>
        </w:rPr>
      </w:pPr>
      <w:r>
        <w:rPr>
          <w:szCs w:val="21"/>
        </w:rPr>
        <w:t>[</w:t>
      </w:r>
      <w:r>
        <w:rPr>
          <w:rFonts w:hint="eastAsia"/>
          <w:szCs w:val="21"/>
          <w:lang w:val="en-US" w:eastAsia="zh-CN"/>
        </w:rPr>
        <w:t>9</w:t>
      </w:r>
      <w:r>
        <w:rPr>
          <w:szCs w:val="21"/>
        </w:rPr>
        <w:t>]</w:t>
      </w:r>
      <w:r>
        <w:rPr>
          <w:rFonts w:hint="eastAsia"/>
          <w:szCs w:val="21"/>
          <w:lang w:val="en-US" w:eastAsia="zh-CN"/>
        </w:rPr>
        <w:t xml:space="preserve"> </w:t>
      </w:r>
      <w:r>
        <w:rPr>
          <w:rFonts w:hint="eastAsia"/>
          <w:szCs w:val="21"/>
        </w:rPr>
        <w:t>郭智辉,杨亮,余志杰.基于虚拟仿真技术的足式机器人创新实验平台开发[J].电子设计工程,2024,32(07):1-5.DOI:10.14022/j.issn1674-6236.2024.07.001.</w:t>
      </w:r>
    </w:p>
    <w:p w14:paraId="0111933E">
      <w:pPr>
        <w:spacing w:line="400" w:lineRule="exact"/>
        <w:ind w:left="420" w:hanging="420" w:hangingChars="200"/>
        <w:rPr>
          <w:szCs w:val="21"/>
        </w:rPr>
      </w:pPr>
      <w:r>
        <w:rPr>
          <w:szCs w:val="21"/>
        </w:rPr>
        <w:t>[</w:t>
      </w:r>
      <w:r>
        <w:rPr>
          <w:rFonts w:hint="eastAsia"/>
          <w:szCs w:val="21"/>
          <w:lang w:val="en-US" w:eastAsia="zh-CN"/>
        </w:rPr>
        <w:t>10</w:t>
      </w:r>
      <w:r>
        <w:rPr>
          <w:szCs w:val="21"/>
        </w:rPr>
        <w:t>]</w:t>
      </w:r>
      <w:r>
        <w:rPr>
          <w:rFonts w:hint="eastAsia"/>
          <w:szCs w:val="21"/>
          <w:lang w:val="en-US" w:eastAsia="zh-CN"/>
        </w:rPr>
        <w:t xml:space="preserve"> </w:t>
      </w:r>
      <w:r>
        <w:rPr>
          <w:rFonts w:hint="eastAsia"/>
          <w:szCs w:val="21"/>
        </w:rPr>
        <w:t>ORR M J, et al.Introduction to radial basis function networks[J].Technical Report,center for cognitive science, University of Edinburgh, 1996.</w:t>
      </w:r>
    </w:p>
    <w:p w14:paraId="0B9548D4">
      <w:pPr>
        <w:spacing w:line="400" w:lineRule="exact"/>
        <w:ind w:left="420" w:hanging="420" w:hangingChars="200"/>
        <w:rPr>
          <w:szCs w:val="21"/>
        </w:rPr>
      </w:pPr>
      <w:r>
        <w:rPr>
          <w:szCs w:val="21"/>
        </w:rPr>
        <w:t>[</w:t>
      </w:r>
      <w:r>
        <w:rPr>
          <w:rFonts w:hint="eastAsia"/>
          <w:szCs w:val="21"/>
          <w:lang w:val="en-US" w:eastAsia="zh-CN"/>
        </w:rPr>
        <w:t>11</w:t>
      </w:r>
      <w:r>
        <w:rPr>
          <w:szCs w:val="21"/>
        </w:rPr>
        <w:t>]</w:t>
      </w:r>
      <w:r>
        <w:rPr>
          <w:rFonts w:hint="eastAsia"/>
          <w:szCs w:val="21"/>
        </w:rPr>
        <w:t>李静,丁佳文,沈南燕,等.基于深度强化学习的双足机器人行走策略研究[J].机器人技术与应用,2025,(03):44-49.</w:t>
      </w:r>
    </w:p>
    <w:p w14:paraId="49AE7C62">
      <w:pPr>
        <w:spacing w:line="400" w:lineRule="exact"/>
        <w:ind w:left="420" w:hanging="420" w:hangingChars="200"/>
        <w:rPr>
          <w:szCs w:val="21"/>
        </w:rPr>
      </w:pPr>
      <w:r>
        <w:rPr>
          <w:szCs w:val="21"/>
        </w:rPr>
        <w:t>[</w:t>
      </w:r>
      <w:r>
        <w:rPr>
          <w:rFonts w:hint="eastAsia"/>
          <w:szCs w:val="21"/>
          <w:lang w:val="en-US" w:eastAsia="zh-CN"/>
        </w:rPr>
        <w:t>12</w:t>
      </w:r>
      <w:r>
        <w:rPr>
          <w:szCs w:val="21"/>
        </w:rPr>
        <w:t>]</w:t>
      </w:r>
      <w:r>
        <w:rPr>
          <w:rFonts w:hint="eastAsia"/>
          <w:szCs w:val="21"/>
          <w:lang w:val="en-US" w:eastAsia="zh-CN"/>
        </w:rPr>
        <w:t xml:space="preserve"> </w:t>
      </w:r>
      <w:r>
        <w:rPr>
          <w:rFonts w:hint="eastAsia"/>
          <w:szCs w:val="21"/>
        </w:rPr>
        <w:t>Techcon A. VGA sensor targets embedded notebook camera apps [J]. EetimesCom, 2014(1):56-57.</w:t>
      </w:r>
    </w:p>
    <w:p w14:paraId="52F1332B">
      <w:pPr>
        <w:spacing w:line="400" w:lineRule="exact"/>
        <w:ind w:left="420" w:hanging="420" w:hangingChars="200"/>
        <w:rPr>
          <w:szCs w:val="21"/>
        </w:rPr>
      </w:pPr>
      <w:r>
        <w:rPr>
          <w:szCs w:val="21"/>
        </w:rPr>
        <w:t>[</w:t>
      </w:r>
      <w:r>
        <w:rPr>
          <w:rFonts w:hint="eastAsia"/>
          <w:szCs w:val="21"/>
          <w:lang w:val="en-US" w:eastAsia="zh-CN"/>
        </w:rPr>
        <w:t>13</w:t>
      </w:r>
      <w:r>
        <w:rPr>
          <w:szCs w:val="21"/>
        </w:rPr>
        <w:t>]</w:t>
      </w:r>
      <w:r>
        <w:rPr>
          <w:rFonts w:hint="eastAsia"/>
          <w:szCs w:val="21"/>
          <w:lang w:val="en-US" w:eastAsia="zh-CN"/>
        </w:rPr>
        <w:t xml:space="preserve"> </w:t>
      </w:r>
      <w:r>
        <w:rPr>
          <w:rFonts w:hint="eastAsia"/>
          <w:szCs w:val="21"/>
        </w:rPr>
        <w:t>王健，张颖琳，周万勇. 双足轮式机器人的设计与运动仿真[J]. 电子制作，2024，32(10)：6-8.</w:t>
      </w:r>
    </w:p>
    <w:p w14:paraId="4CE51FD6">
      <w:pPr>
        <w:spacing w:line="400" w:lineRule="exact"/>
        <w:ind w:left="420" w:hanging="420" w:hangingChars="200"/>
        <w:rPr>
          <w:szCs w:val="21"/>
        </w:rPr>
      </w:pPr>
      <w:r>
        <w:rPr>
          <w:szCs w:val="21"/>
        </w:rPr>
        <w:t>[</w:t>
      </w:r>
      <w:r>
        <w:rPr>
          <w:rFonts w:hint="eastAsia"/>
          <w:szCs w:val="21"/>
          <w:lang w:val="en-US" w:eastAsia="zh-CN"/>
        </w:rPr>
        <w:t>14</w:t>
      </w:r>
      <w:r>
        <w:rPr>
          <w:szCs w:val="21"/>
        </w:rPr>
        <w:t>]</w:t>
      </w:r>
      <w:r>
        <w:rPr>
          <w:rFonts w:hint="eastAsia"/>
          <w:szCs w:val="21"/>
          <w:lang w:val="en-US" w:eastAsia="zh-CN"/>
        </w:rPr>
        <w:t xml:space="preserve"> </w:t>
      </w:r>
      <w:r>
        <w:rPr>
          <w:rFonts w:hint="eastAsia"/>
          <w:szCs w:val="21"/>
        </w:rPr>
        <w:t>Zhang Z H, Peng G J. Design of the Thermistor Tester based on MSP430 [J]. International Journal of u- and e- Service, Science and Technology, 2015(1):8.</w:t>
      </w:r>
    </w:p>
    <w:p w14:paraId="2B1241D8">
      <w:pPr>
        <w:spacing w:line="400" w:lineRule="exact"/>
        <w:ind w:left="420" w:hanging="420" w:hangingChars="200"/>
        <w:rPr>
          <w:szCs w:val="21"/>
        </w:rPr>
      </w:pPr>
      <w:r>
        <w:rPr>
          <w:szCs w:val="21"/>
        </w:rPr>
        <w:t>[</w:t>
      </w:r>
      <w:r>
        <w:rPr>
          <w:rFonts w:hint="eastAsia"/>
          <w:szCs w:val="21"/>
          <w:lang w:val="en-US" w:eastAsia="zh-CN"/>
        </w:rPr>
        <w:t>15</w:t>
      </w:r>
      <w:r>
        <w:rPr>
          <w:szCs w:val="21"/>
        </w:rPr>
        <w:t>]</w:t>
      </w:r>
      <w:r>
        <w:rPr>
          <w:rFonts w:hint="eastAsia"/>
          <w:szCs w:val="21"/>
          <w:lang w:val="en-US" w:eastAsia="zh-CN"/>
        </w:rPr>
        <w:t xml:space="preserve"> </w:t>
      </w:r>
      <w:r>
        <w:rPr>
          <w:rFonts w:hint="eastAsia"/>
          <w:szCs w:val="21"/>
        </w:rPr>
        <w:t>C. Pfister. One-legged stabilization controller design of a two legged inverted pendulum robot[D]. Zurich: Swiss Federal Institute of Technology, 2018.</w:t>
      </w:r>
    </w:p>
    <w:p w14:paraId="723669FF">
      <w:pPr>
        <w:spacing w:line="400" w:lineRule="exact"/>
        <w:ind w:left="420" w:hanging="420" w:hangingChars="200"/>
        <w:rPr>
          <w:rFonts w:hint="eastAsia"/>
          <w:szCs w:val="21"/>
        </w:rPr>
      </w:pPr>
      <w:r>
        <w:rPr>
          <w:szCs w:val="21"/>
        </w:rPr>
        <w:t>[</w:t>
      </w:r>
      <w:r>
        <w:rPr>
          <w:rFonts w:hint="eastAsia"/>
          <w:szCs w:val="21"/>
          <w:lang w:val="en-US" w:eastAsia="zh-CN"/>
        </w:rPr>
        <w:t>16</w:t>
      </w:r>
      <w:r>
        <w:rPr>
          <w:szCs w:val="21"/>
        </w:rPr>
        <w:t>]</w:t>
      </w:r>
      <w:r>
        <w:rPr>
          <w:rFonts w:hint="eastAsia"/>
          <w:szCs w:val="21"/>
          <w:lang w:val="en-US" w:eastAsia="zh-CN"/>
        </w:rPr>
        <w:t xml:space="preserve"> </w:t>
      </w:r>
      <w:r>
        <w:rPr>
          <w:rFonts w:hint="eastAsia"/>
          <w:szCs w:val="21"/>
        </w:rPr>
        <w:t>Park H W, Wensing P M, Kim S. High-speed bounding with the MIT Cheetah 2:Control design and experiments [J]. The International Journal of Robotics Research, 2017, 36(2):167-192.</w:t>
      </w:r>
    </w:p>
    <w:p w14:paraId="368282BA">
      <w:pPr>
        <w:spacing w:line="400" w:lineRule="exact"/>
        <w:rPr>
          <w:rFonts w:hint="eastAsia"/>
          <w:sz w:val="24"/>
        </w:rPr>
      </w:pPr>
      <w:bookmarkStart w:id="0" w:name="_GoBack"/>
      <w:bookmarkEnd w:id="0"/>
    </w:p>
    <w:p w14:paraId="18D2DDC3">
      <w:pPr>
        <w:spacing w:line="400" w:lineRule="exact"/>
        <w:rPr>
          <w:rFonts w:hint="eastAsia"/>
          <w:sz w:val="24"/>
        </w:rPr>
      </w:pPr>
    </w:p>
    <w:tbl>
      <w:tblPr>
        <w:tblStyle w:val="6"/>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520"/>
        <w:gridCol w:w="4680"/>
      </w:tblGrid>
      <w:tr w14:paraId="636C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8280" w:type="dxa"/>
            <w:gridSpan w:val="3"/>
            <w:tcBorders>
              <w:top w:val="nil"/>
              <w:left w:val="nil"/>
              <w:bottom w:val="single" w:color="auto" w:sz="4" w:space="0"/>
              <w:right w:val="nil"/>
            </w:tcBorders>
            <w:noWrap w:val="0"/>
            <w:vAlign w:val="center"/>
          </w:tcPr>
          <w:p w14:paraId="04419F2A">
            <w:pPr>
              <w:spacing w:line="400" w:lineRule="exact"/>
              <w:rPr>
                <w:rFonts w:hint="eastAsia" w:ascii="黑体" w:hAnsi="黑体" w:eastAsia="黑体"/>
                <w:sz w:val="32"/>
                <w:szCs w:val="32"/>
              </w:rPr>
            </w:pPr>
            <w:r>
              <w:rPr>
                <w:rFonts w:hint="eastAsia" w:ascii="黑体" w:hAnsi="黑体" w:eastAsia="黑体"/>
                <w:sz w:val="32"/>
                <w:szCs w:val="32"/>
              </w:rPr>
              <w:t>三、进度计划</w:t>
            </w:r>
          </w:p>
        </w:tc>
      </w:tr>
      <w:tr w14:paraId="3501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tcBorders>
              <w:top w:val="single" w:color="auto" w:sz="4" w:space="0"/>
            </w:tcBorders>
            <w:noWrap w:val="0"/>
            <w:vAlign w:val="center"/>
          </w:tcPr>
          <w:p w14:paraId="1DE0BA0C">
            <w:pPr>
              <w:spacing w:line="360" w:lineRule="auto"/>
              <w:ind w:left="105" w:leftChars="50" w:right="105" w:rightChars="50"/>
              <w:jc w:val="center"/>
              <w:rPr>
                <w:rFonts w:hint="eastAsia"/>
                <w:sz w:val="24"/>
              </w:rPr>
            </w:pPr>
            <w:r>
              <w:rPr>
                <w:rFonts w:hint="eastAsia"/>
                <w:sz w:val="24"/>
              </w:rPr>
              <w:t>序号</w:t>
            </w:r>
          </w:p>
        </w:tc>
        <w:tc>
          <w:tcPr>
            <w:tcW w:w="2520" w:type="dxa"/>
            <w:tcBorders>
              <w:top w:val="single" w:color="auto" w:sz="4" w:space="0"/>
            </w:tcBorders>
            <w:noWrap w:val="0"/>
            <w:vAlign w:val="center"/>
          </w:tcPr>
          <w:p w14:paraId="226B7CE1">
            <w:pPr>
              <w:spacing w:line="360" w:lineRule="auto"/>
              <w:ind w:right="105" w:rightChars="50"/>
              <w:jc w:val="center"/>
              <w:rPr>
                <w:rFonts w:hint="eastAsia"/>
                <w:sz w:val="24"/>
              </w:rPr>
            </w:pPr>
            <w:r>
              <w:rPr>
                <w:rFonts w:hint="eastAsia"/>
                <w:sz w:val="24"/>
              </w:rPr>
              <w:t>起止周次</w:t>
            </w:r>
          </w:p>
        </w:tc>
        <w:tc>
          <w:tcPr>
            <w:tcW w:w="4680" w:type="dxa"/>
            <w:tcBorders>
              <w:top w:val="single" w:color="auto" w:sz="4" w:space="0"/>
            </w:tcBorders>
            <w:noWrap w:val="0"/>
            <w:vAlign w:val="center"/>
          </w:tcPr>
          <w:p w14:paraId="676A910D">
            <w:pPr>
              <w:spacing w:line="360" w:lineRule="auto"/>
              <w:ind w:right="105" w:rightChars="50"/>
              <w:jc w:val="center"/>
              <w:rPr>
                <w:rFonts w:hint="eastAsia"/>
                <w:sz w:val="24"/>
              </w:rPr>
            </w:pPr>
            <w:r>
              <w:rPr>
                <w:rFonts w:hint="eastAsia"/>
                <w:sz w:val="24"/>
              </w:rPr>
              <w:t>工  作  内  容</w:t>
            </w:r>
          </w:p>
        </w:tc>
      </w:tr>
      <w:tr w14:paraId="6EC6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62A96212">
            <w:pPr>
              <w:spacing w:line="360" w:lineRule="auto"/>
              <w:ind w:right="105" w:rightChars="50"/>
              <w:jc w:val="center"/>
              <w:rPr>
                <w:rFonts w:hint="eastAsia"/>
                <w:sz w:val="24"/>
              </w:rPr>
            </w:pPr>
            <w:r>
              <w:rPr>
                <w:rFonts w:hint="eastAsia"/>
                <w:sz w:val="24"/>
              </w:rPr>
              <w:t>1</w:t>
            </w:r>
          </w:p>
        </w:tc>
        <w:tc>
          <w:tcPr>
            <w:tcW w:w="2520" w:type="dxa"/>
            <w:noWrap w:val="0"/>
            <w:vAlign w:val="center"/>
          </w:tcPr>
          <w:p w14:paraId="0A9FB638">
            <w:pPr>
              <w:spacing w:line="360" w:lineRule="auto"/>
              <w:ind w:right="105" w:rightChars="50"/>
              <w:jc w:val="center"/>
              <w:rPr>
                <w:rFonts w:hint="eastAsia"/>
                <w:sz w:val="24"/>
              </w:rPr>
            </w:pPr>
            <w:r>
              <w:rPr>
                <w:rFonts w:hint="eastAsia"/>
                <w:sz w:val="24"/>
                <w:lang w:val="en-US" w:eastAsia="zh-CN"/>
              </w:rPr>
              <w:t>12</w:t>
            </w:r>
            <w:r>
              <w:rPr>
                <w:rFonts w:hint="eastAsia"/>
                <w:sz w:val="24"/>
              </w:rPr>
              <w:t xml:space="preserve">周至    </w:t>
            </w:r>
            <w:r>
              <w:rPr>
                <w:rFonts w:hint="eastAsia"/>
                <w:sz w:val="24"/>
                <w:lang w:val="en-US" w:eastAsia="zh-CN"/>
              </w:rPr>
              <w:t>17</w:t>
            </w:r>
            <w:r>
              <w:rPr>
                <w:rFonts w:hint="eastAsia"/>
                <w:sz w:val="24"/>
              </w:rPr>
              <w:t>周</w:t>
            </w:r>
          </w:p>
        </w:tc>
        <w:tc>
          <w:tcPr>
            <w:tcW w:w="4680" w:type="dxa"/>
            <w:noWrap w:val="0"/>
            <w:vAlign w:val="center"/>
          </w:tcPr>
          <w:p w14:paraId="6B415A37">
            <w:pPr>
              <w:spacing w:line="360" w:lineRule="auto"/>
              <w:ind w:right="105" w:rightChars="50"/>
              <w:jc w:val="center"/>
              <w:rPr>
                <w:rFonts w:hint="eastAsia"/>
                <w:sz w:val="24"/>
              </w:rPr>
            </w:pPr>
            <w:r>
              <w:rPr>
                <w:rFonts w:hint="eastAsia"/>
                <w:sz w:val="24"/>
              </w:rPr>
              <w:t>阅读相关文献资料，撰写文献综述</w:t>
            </w:r>
            <w:r>
              <w:rPr>
                <w:rFonts w:hint="eastAsia"/>
                <w:sz w:val="24"/>
                <w:lang w:eastAsia="zh-CN"/>
              </w:rPr>
              <w:t>；</w:t>
            </w:r>
            <w:r>
              <w:rPr>
                <w:sz w:val="24"/>
              </w:rPr>
              <w:t>进行整体方案设计，</w:t>
            </w:r>
            <w:r>
              <w:rPr>
                <w:rFonts w:hint="eastAsia"/>
                <w:sz w:val="24"/>
              </w:rPr>
              <w:t>撰写开题报告</w:t>
            </w:r>
          </w:p>
        </w:tc>
      </w:tr>
      <w:tr w14:paraId="2731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4EB69002">
            <w:pPr>
              <w:spacing w:line="360" w:lineRule="auto"/>
              <w:ind w:right="105" w:rightChars="50"/>
              <w:jc w:val="center"/>
              <w:rPr>
                <w:rFonts w:hint="eastAsia"/>
                <w:sz w:val="24"/>
              </w:rPr>
            </w:pPr>
            <w:r>
              <w:rPr>
                <w:rFonts w:hint="eastAsia"/>
                <w:sz w:val="24"/>
              </w:rPr>
              <w:t>2</w:t>
            </w:r>
          </w:p>
        </w:tc>
        <w:tc>
          <w:tcPr>
            <w:tcW w:w="2520" w:type="dxa"/>
            <w:noWrap w:val="0"/>
            <w:vAlign w:val="center"/>
          </w:tcPr>
          <w:p w14:paraId="6CA25B29">
            <w:pPr>
              <w:spacing w:line="360" w:lineRule="auto"/>
              <w:ind w:right="105" w:rightChars="50"/>
              <w:jc w:val="center"/>
              <w:rPr>
                <w:rFonts w:hint="eastAsia"/>
                <w:sz w:val="24"/>
              </w:rPr>
            </w:pPr>
            <w:r>
              <w:rPr>
                <w:rFonts w:hint="eastAsia"/>
                <w:sz w:val="24"/>
                <w:lang w:val="en-US" w:eastAsia="zh-CN"/>
              </w:rPr>
              <w:t>15</w:t>
            </w:r>
            <w:r>
              <w:rPr>
                <w:rFonts w:hint="eastAsia"/>
                <w:sz w:val="24"/>
              </w:rPr>
              <w:t xml:space="preserve">周至    </w:t>
            </w:r>
            <w:r>
              <w:rPr>
                <w:rFonts w:hint="eastAsia"/>
                <w:sz w:val="24"/>
                <w:lang w:val="en-US" w:eastAsia="zh-CN"/>
              </w:rPr>
              <w:t>17</w:t>
            </w:r>
            <w:r>
              <w:rPr>
                <w:rFonts w:hint="eastAsia"/>
                <w:sz w:val="24"/>
              </w:rPr>
              <w:t>周</w:t>
            </w:r>
          </w:p>
        </w:tc>
        <w:tc>
          <w:tcPr>
            <w:tcW w:w="4680" w:type="dxa"/>
            <w:noWrap w:val="0"/>
            <w:vAlign w:val="center"/>
          </w:tcPr>
          <w:p w14:paraId="06EA08B9">
            <w:pPr>
              <w:spacing w:line="360" w:lineRule="auto"/>
              <w:ind w:right="105" w:rightChars="50"/>
              <w:jc w:val="center"/>
              <w:rPr>
                <w:rFonts w:hint="eastAsia"/>
                <w:sz w:val="24"/>
              </w:rPr>
            </w:pPr>
            <w:r>
              <w:rPr>
                <w:rFonts w:hint="eastAsia"/>
                <w:sz w:val="24"/>
              </w:rPr>
              <w:t>学习了解仿真环境的搭建、使用、调试</w:t>
            </w:r>
          </w:p>
        </w:tc>
      </w:tr>
      <w:tr w14:paraId="6405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658F2E8C">
            <w:pPr>
              <w:spacing w:line="360" w:lineRule="auto"/>
              <w:ind w:right="105" w:rightChars="50"/>
              <w:jc w:val="center"/>
              <w:rPr>
                <w:rFonts w:hint="eastAsia"/>
                <w:sz w:val="24"/>
              </w:rPr>
            </w:pPr>
            <w:r>
              <w:rPr>
                <w:rFonts w:hint="eastAsia"/>
                <w:sz w:val="24"/>
              </w:rPr>
              <w:t>3</w:t>
            </w:r>
          </w:p>
        </w:tc>
        <w:tc>
          <w:tcPr>
            <w:tcW w:w="2520" w:type="dxa"/>
            <w:noWrap w:val="0"/>
            <w:vAlign w:val="center"/>
          </w:tcPr>
          <w:p w14:paraId="649ECFF7">
            <w:pPr>
              <w:spacing w:line="360" w:lineRule="auto"/>
              <w:ind w:right="105" w:rightChars="50"/>
              <w:jc w:val="center"/>
              <w:rPr>
                <w:rFonts w:hint="eastAsia"/>
                <w:sz w:val="24"/>
              </w:rPr>
            </w:pPr>
            <w:r>
              <w:rPr>
                <w:rFonts w:hint="eastAsia"/>
                <w:sz w:val="24"/>
                <w:lang w:val="en-US" w:eastAsia="zh-CN"/>
              </w:rPr>
              <w:t>17</w:t>
            </w:r>
            <w:r>
              <w:rPr>
                <w:rFonts w:hint="eastAsia"/>
                <w:sz w:val="24"/>
              </w:rPr>
              <w:t xml:space="preserve">周至    </w:t>
            </w:r>
            <w:r>
              <w:rPr>
                <w:rFonts w:hint="eastAsia"/>
                <w:sz w:val="24"/>
                <w:lang w:val="en-US" w:eastAsia="zh-CN"/>
              </w:rPr>
              <w:t>19</w:t>
            </w:r>
            <w:r>
              <w:rPr>
                <w:rFonts w:hint="eastAsia"/>
                <w:sz w:val="24"/>
              </w:rPr>
              <w:t>周</w:t>
            </w:r>
          </w:p>
        </w:tc>
        <w:tc>
          <w:tcPr>
            <w:tcW w:w="4680" w:type="dxa"/>
            <w:noWrap w:val="0"/>
            <w:vAlign w:val="center"/>
          </w:tcPr>
          <w:p w14:paraId="2F787DC5">
            <w:pPr>
              <w:spacing w:line="360" w:lineRule="auto"/>
              <w:ind w:right="105" w:rightChars="50"/>
              <w:jc w:val="center"/>
              <w:rPr>
                <w:rFonts w:hint="eastAsia"/>
                <w:sz w:val="24"/>
              </w:rPr>
            </w:pPr>
            <w:r>
              <w:rPr>
                <w:rFonts w:hint="eastAsia"/>
                <w:sz w:val="24"/>
              </w:rPr>
              <w:t>学习了解深度强化学习工具的基本使用方法</w:t>
            </w:r>
          </w:p>
        </w:tc>
      </w:tr>
      <w:tr w14:paraId="778D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54A80A64">
            <w:pPr>
              <w:spacing w:line="360" w:lineRule="auto"/>
              <w:ind w:right="105" w:rightChars="50"/>
              <w:jc w:val="center"/>
              <w:rPr>
                <w:rFonts w:hint="eastAsia"/>
                <w:sz w:val="24"/>
              </w:rPr>
            </w:pPr>
            <w:r>
              <w:rPr>
                <w:rFonts w:hint="eastAsia"/>
                <w:sz w:val="24"/>
              </w:rPr>
              <w:t>4</w:t>
            </w:r>
          </w:p>
        </w:tc>
        <w:tc>
          <w:tcPr>
            <w:tcW w:w="2520" w:type="dxa"/>
            <w:noWrap w:val="0"/>
            <w:vAlign w:val="center"/>
          </w:tcPr>
          <w:p w14:paraId="302E24DC">
            <w:pPr>
              <w:spacing w:line="360" w:lineRule="auto"/>
              <w:ind w:right="105" w:rightChars="50"/>
              <w:jc w:val="center"/>
              <w:rPr>
                <w:rFonts w:hint="eastAsia"/>
                <w:sz w:val="24"/>
              </w:rPr>
            </w:pPr>
            <w:r>
              <w:rPr>
                <w:rFonts w:hint="eastAsia"/>
                <w:sz w:val="24"/>
                <w:lang w:val="en-US" w:eastAsia="zh-CN"/>
              </w:rPr>
              <w:t>1</w:t>
            </w:r>
            <w:r>
              <w:rPr>
                <w:rFonts w:hint="eastAsia"/>
                <w:sz w:val="24"/>
              </w:rPr>
              <w:t xml:space="preserve">周至    </w:t>
            </w:r>
            <w:r>
              <w:rPr>
                <w:rFonts w:hint="eastAsia"/>
                <w:sz w:val="24"/>
                <w:lang w:val="en-US" w:eastAsia="zh-CN"/>
              </w:rPr>
              <w:t>3</w:t>
            </w:r>
            <w:r>
              <w:rPr>
                <w:rFonts w:hint="eastAsia"/>
                <w:sz w:val="24"/>
              </w:rPr>
              <w:t>周</w:t>
            </w:r>
          </w:p>
        </w:tc>
        <w:tc>
          <w:tcPr>
            <w:tcW w:w="4680" w:type="dxa"/>
            <w:noWrap w:val="0"/>
            <w:vAlign w:val="center"/>
          </w:tcPr>
          <w:p w14:paraId="53B547E0">
            <w:pPr>
              <w:spacing w:line="360" w:lineRule="auto"/>
              <w:ind w:right="105" w:rightChars="50"/>
              <w:jc w:val="center"/>
              <w:rPr>
                <w:rFonts w:hint="eastAsia"/>
                <w:sz w:val="24"/>
              </w:rPr>
            </w:pPr>
            <w:r>
              <w:rPr>
                <w:rFonts w:ascii="宋体" w:hAnsi="宋体" w:cs="宋体"/>
                <w:sz w:val="24"/>
              </w:rPr>
              <w:t>完成</w:t>
            </w:r>
            <w:r>
              <w:rPr>
                <w:rFonts w:hint="eastAsia" w:ascii="宋体" w:hAnsi="宋体" w:cs="宋体"/>
                <w:sz w:val="24"/>
              </w:rPr>
              <w:t>仿真</w:t>
            </w:r>
            <w:r>
              <w:rPr>
                <w:rFonts w:ascii="宋体" w:hAnsi="宋体" w:cs="宋体"/>
                <w:sz w:val="24"/>
              </w:rPr>
              <w:t>环境的</w:t>
            </w:r>
            <w:r>
              <w:rPr>
                <w:rFonts w:hint="eastAsia" w:ascii="宋体" w:hAnsi="宋体" w:cs="宋体"/>
                <w:sz w:val="24"/>
              </w:rPr>
              <w:t>复杂地形</w:t>
            </w:r>
            <w:r>
              <w:rPr>
                <w:rFonts w:ascii="宋体" w:hAnsi="宋体" w:cs="宋体"/>
                <w:sz w:val="24"/>
              </w:rPr>
              <w:t>搭建</w:t>
            </w:r>
          </w:p>
        </w:tc>
      </w:tr>
      <w:tr w14:paraId="4FDC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7C2741C5">
            <w:pPr>
              <w:spacing w:line="360" w:lineRule="auto"/>
              <w:ind w:right="105" w:rightChars="50"/>
              <w:jc w:val="center"/>
              <w:rPr>
                <w:rFonts w:hint="eastAsia"/>
                <w:sz w:val="24"/>
              </w:rPr>
            </w:pPr>
            <w:r>
              <w:rPr>
                <w:rFonts w:hint="eastAsia"/>
                <w:sz w:val="24"/>
              </w:rPr>
              <w:t>5</w:t>
            </w:r>
          </w:p>
        </w:tc>
        <w:tc>
          <w:tcPr>
            <w:tcW w:w="2520" w:type="dxa"/>
            <w:noWrap w:val="0"/>
            <w:vAlign w:val="center"/>
          </w:tcPr>
          <w:p w14:paraId="00C2A5B2">
            <w:pPr>
              <w:spacing w:line="360" w:lineRule="auto"/>
              <w:ind w:right="105" w:rightChars="50"/>
              <w:jc w:val="center"/>
              <w:rPr>
                <w:rFonts w:hint="eastAsia"/>
                <w:sz w:val="24"/>
              </w:rPr>
            </w:pPr>
            <w:r>
              <w:rPr>
                <w:rFonts w:hint="eastAsia"/>
                <w:sz w:val="24"/>
                <w:lang w:val="en-US" w:eastAsia="zh-CN"/>
              </w:rPr>
              <w:t>3</w:t>
            </w:r>
            <w:r>
              <w:rPr>
                <w:rFonts w:hint="eastAsia"/>
                <w:sz w:val="24"/>
              </w:rPr>
              <w:t xml:space="preserve">周至    </w:t>
            </w:r>
            <w:r>
              <w:rPr>
                <w:rFonts w:hint="eastAsia"/>
                <w:sz w:val="24"/>
                <w:lang w:val="en-US" w:eastAsia="zh-CN"/>
              </w:rPr>
              <w:t>5</w:t>
            </w:r>
            <w:r>
              <w:rPr>
                <w:rFonts w:hint="eastAsia"/>
                <w:sz w:val="24"/>
              </w:rPr>
              <w:t>周</w:t>
            </w:r>
          </w:p>
        </w:tc>
        <w:tc>
          <w:tcPr>
            <w:tcW w:w="4680" w:type="dxa"/>
            <w:noWrap w:val="0"/>
            <w:vAlign w:val="center"/>
          </w:tcPr>
          <w:p w14:paraId="19E6323D">
            <w:pPr>
              <w:spacing w:line="360" w:lineRule="auto"/>
              <w:ind w:right="105" w:rightChars="50"/>
              <w:jc w:val="center"/>
              <w:rPr>
                <w:rFonts w:hint="eastAsia"/>
                <w:sz w:val="24"/>
              </w:rPr>
            </w:pPr>
            <w:r>
              <w:rPr>
                <w:rFonts w:ascii="宋体" w:hAnsi="宋体" w:cs="宋体"/>
                <w:sz w:val="24"/>
              </w:rPr>
              <w:t>完成</w:t>
            </w:r>
            <w:r>
              <w:rPr>
                <w:rFonts w:hint="eastAsia" w:ascii="宋体" w:hAnsi="宋体" w:cs="宋体"/>
                <w:sz w:val="24"/>
              </w:rPr>
              <w:t>机器人</w:t>
            </w:r>
            <w:r>
              <w:rPr>
                <w:rFonts w:hint="eastAsia" w:ascii="宋体" w:hAnsi="宋体" w:cs="宋体"/>
                <w:sz w:val="24"/>
                <w:lang w:val="en-US" w:eastAsia="zh-CN"/>
              </w:rPr>
              <w:t>强化学习</w:t>
            </w:r>
            <w:r>
              <w:rPr>
                <w:rFonts w:hint="eastAsia" w:ascii="宋体" w:hAnsi="宋体" w:cs="宋体"/>
                <w:sz w:val="24"/>
              </w:rPr>
              <w:t>控制策略的初步设计</w:t>
            </w:r>
          </w:p>
        </w:tc>
      </w:tr>
      <w:tr w14:paraId="34DC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743EF3E8">
            <w:pPr>
              <w:spacing w:line="360" w:lineRule="auto"/>
              <w:ind w:right="105" w:rightChars="50"/>
              <w:jc w:val="center"/>
              <w:rPr>
                <w:rFonts w:hint="eastAsia"/>
                <w:sz w:val="24"/>
              </w:rPr>
            </w:pPr>
            <w:r>
              <w:rPr>
                <w:rFonts w:hint="eastAsia"/>
                <w:sz w:val="24"/>
              </w:rPr>
              <w:t>6</w:t>
            </w:r>
          </w:p>
        </w:tc>
        <w:tc>
          <w:tcPr>
            <w:tcW w:w="2520" w:type="dxa"/>
            <w:noWrap w:val="0"/>
            <w:vAlign w:val="center"/>
          </w:tcPr>
          <w:p w14:paraId="486E114C">
            <w:pPr>
              <w:spacing w:line="360" w:lineRule="auto"/>
              <w:ind w:right="105" w:rightChars="50"/>
              <w:jc w:val="center"/>
              <w:rPr>
                <w:rFonts w:hint="eastAsia"/>
                <w:sz w:val="24"/>
              </w:rPr>
            </w:pPr>
            <w:r>
              <w:rPr>
                <w:rFonts w:hint="eastAsia"/>
                <w:sz w:val="24"/>
                <w:lang w:val="en-US" w:eastAsia="zh-CN"/>
              </w:rPr>
              <w:t>5</w:t>
            </w:r>
            <w:r>
              <w:rPr>
                <w:rFonts w:hint="eastAsia"/>
                <w:sz w:val="24"/>
              </w:rPr>
              <w:t xml:space="preserve">周至    </w:t>
            </w:r>
            <w:r>
              <w:rPr>
                <w:rFonts w:hint="eastAsia"/>
                <w:sz w:val="24"/>
                <w:lang w:val="en-US" w:eastAsia="zh-CN"/>
              </w:rPr>
              <w:t>7</w:t>
            </w:r>
            <w:r>
              <w:rPr>
                <w:rFonts w:hint="eastAsia"/>
                <w:sz w:val="24"/>
              </w:rPr>
              <w:t>周</w:t>
            </w:r>
          </w:p>
        </w:tc>
        <w:tc>
          <w:tcPr>
            <w:tcW w:w="4680" w:type="dxa"/>
            <w:noWrap w:val="0"/>
            <w:vAlign w:val="center"/>
          </w:tcPr>
          <w:p w14:paraId="5584D27B">
            <w:pPr>
              <w:spacing w:line="360" w:lineRule="auto"/>
              <w:ind w:right="105" w:rightChars="50"/>
              <w:jc w:val="center"/>
              <w:rPr>
                <w:rFonts w:hint="eastAsia"/>
                <w:sz w:val="24"/>
              </w:rPr>
            </w:pPr>
            <w:r>
              <w:rPr>
                <w:rFonts w:ascii="宋体" w:hAnsi="宋体" w:cs="宋体"/>
                <w:sz w:val="24"/>
              </w:rPr>
              <w:t>进行测试，验证</w:t>
            </w:r>
            <w:r>
              <w:rPr>
                <w:rFonts w:hint="eastAsia" w:ascii="宋体" w:hAnsi="宋体" w:cs="宋体"/>
                <w:sz w:val="24"/>
              </w:rPr>
              <w:t>仿真环境设计</w:t>
            </w:r>
            <w:r>
              <w:rPr>
                <w:rFonts w:hint="eastAsia" w:ascii="宋体" w:hAnsi="宋体" w:cs="宋体"/>
                <w:sz w:val="24"/>
                <w:lang w:val="en-US" w:eastAsia="zh-CN"/>
              </w:rPr>
              <w:t>与控制策略设计</w:t>
            </w:r>
            <w:r>
              <w:rPr>
                <w:rFonts w:hint="eastAsia" w:ascii="宋体" w:hAnsi="宋体" w:cs="宋体"/>
                <w:sz w:val="24"/>
              </w:rPr>
              <w:t>的合理性</w:t>
            </w:r>
          </w:p>
        </w:tc>
      </w:tr>
      <w:tr w14:paraId="4481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0B1392FB">
            <w:pPr>
              <w:spacing w:line="360" w:lineRule="auto"/>
              <w:ind w:right="105" w:rightChars="50"/>
              <w:jc w:val="center"/>
              <w:rPr>
                <w:rFonts w:hint="eastAsia"/>
                <w:sz w:val="24"/>
              </w:rPr>
            </w:pPr>
            <w:r>
              <w:rPr>
                <w:rFonts w:hint="eastAsia"/>
                <w:sz w:val="24"/>
              </w:rPr>
              <w:t>7</w:t>
            </w:r>
          </w:p>
        </w:tc>
        <w:tc>
          <w:tcPr>
            <w:tcW w:w="2520" w:type="dxa"/>
            <w:noWrap w:val="0"/>
            <w:vAlign w:val="center"/>
          </w:tcPr>
          <w:p w14:paraId="5C4CFE54">
            <w:pPr>
              <w:spacing w:line="360" w:lineRule="auto"/>
              <w:ind w:right="105" w:rightChars="50"/>
              <w:jc w:val="center"/>
              <w:rPr>
                <w:rFonts w:hint="eastAsia"/>
                <w:sz w:val="24"/>
              </w:rPr>
            </w:pPr>
            <w:r>
              <w:rPr>
                <w:rFonts w:hint="eastAsia"/>
                <w:sz w:val="24"/>
                <w:lang w:val="en-US" w:eastAsia="zh-CN"/>
              </w:rPr>
              <w:t>7</w:t>
            </w:r>
            <w:r>
              <w:rPr>
                <w:rFonts w:hint="eastAsia"/>
                <w:sz w:val="24"/>
              </w:rPr>
              <w:t xml:space="preserve">周至    </w:t>
            </w:r>
            <w:r>
              <w:rPr>
                <w:rFonts w:hint="eastAsia"/>
                <w:sz w:val="24"/>
                <w:lang w:val="en-US" w:eastAsia="zh-CN"/>
              </w:rPr>
              <w:t>10</w:t>
            </w:r>
            <w:r>
              <w:rPr>
                <w:rFonts w:hint="eastAsia"/>
                <w:sz w:val="24"/>
              </w:rPr>
              <w:t>周</w:t>
            </w:r>
          </w:p>
        </w:tc>
        <w:tc>
          <w:tcPr>
            <w:tcW w:w="4680" w:type="dxa"/>
            <w:noWrap w:val="0"/>
            <w:vAlign w:val="center"/>
          </w:tcPr>
          <w:p w14:paraId="7DB945A3">
            <w:pPr>
              <w:spacing w:line="360" w:lineRule="auto"/>
              <w:ind w:right="105" w:rightChars="50"/>
              <w:jc w:val="center"/>
              <w:rPr>
                <w:rFonts w:hint="eastAsia"/>
                <w:sz w:val="24"/>
              </w:rPr>
            </w:pPr>
            <w:r>
              <w:rPr>
                <w:rFonts w:hint="eastAsia" w:ascii="宋体" w:hAnsi="宋体" w:cs="宋体"/>
                <w:sz w:val="24"/>
              </w:rPr>
              <w:t>根据测试结果，优化</w:t>
            </w:r>
            <w:r>
              <w:rPr>
                <w:rFonts w:hint="eastAsia" w:ascii="宋体" w:hAnsi="宋体" w:cs="宋体"/>
                <w:sz w:val="24"/>
                <w:lang w:val="en-US" w:eastAsia="zh-CN"/>
              </w:rPr>
              <w:t>仿真环境与</w:t>
            </w:r>
            <w:r>
              <w:rPr>
                <w:rFonts w:ascii="宋体" w:hAnsi="宋体" w:eastAsia="宋体"/>
                <w:sz w:val="24"/>
              </w:rPr>
              <w:t>控制策略</w:t>
            </w:r>
          </w:p>
        </w:tc>
      </w:tr>
      <w:tr w14:paraId="45DD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080" w:type="dxa"/>
            <w:noWrap w:val="0"/>
            <w:vAlign w:val="center"/>
          </w:tcPr>
          <w:p w14:paraId="699C9E77">
            <w:pPr>
              <w:spacing w:line="360" w:lineRule="auto"/>
              <w:ind w:right="105" w:rightChars="50"/>
              <w:jc w:val="center"/>
              <w:rPr>
                <w:rFonts w:hint="eastAsia"/>
                <w:sz w:val="24"/>
              </w:rPr>
            </w:pPr>
            <w:r>
              <w:rPr>
                <w:rFonts w:hint="eastAsia"/>
                <w:sz w:val="24"/>
              </w:rPr>
              <w:t>8</w:t>
            </w:r>
          </w:p>
        </w:tc>
        <w:tc>
          <w:tcPr>
            <w:tcW w:w="2520" w:type="dxa"/>
            <w:noWrap w:val="0"/>
            <w:vAlign w:val="center"/>
          </w:tcPr>
          <w:p w14:paraId="0511D362">
            <w:pPr>
              <w:spacing w:line="360" w:lineRule="auto"/>
              <w:ind w:right="105" w:rightChars="50"/>
              <w:jc w:val="center"/>
              <w:rPr>
                <w:rFonts w:hint="eastAsia"/>
                <w:sz w:val="24"/>
              </w:rPr>
            </w:pPr>
            <w:r>
              <w:rPr>
                <w:rFonts w:hint="eastAsia"/>
                <w:sz w:val="24"/>
                <w:lang w:val="en-US" w:eastAsia="zh-CN"/>
              </w:rPr>
              <w:t>10</w:t>
            </w:r>
            <w:r>
              <w:rPr>
                <w:rFonts w:hint="eastAsia"/>
                <w:sz w:val="24"/>
              </w:rPr>
              <w:t xml:space="preserve">周至    </w:t>
            </w:r>
            <w:r>
              <w:rPr>
                <w:rFonts w:hint="eastAsia"/>
                <w:sz w:val="24"/>
                <w:lang w:val="en-US" w:eastAsia="zh-CN"/>
              </w:rPr>
              <w:t>13</w:t>
            </w:r>
            <w:r>
              <w:rPr>
                <w:rFonts w:hint="eastAsia"/>
                <w:sz w:val="24"/>
              </w:rPr>
              <w:t>周</w:t>
            </w:r>
          </w:p>
        </w:tc>
        <w:tc>
          <w:tcPr>
            <w:tcW w:w="4680" w:type="dxa"/>
            <w:noWrap w:val="0"/>
            <w:vAlign w:val="center"/>
          </w:tcPr>
          <w:p w14:paraId="1EA4E8B9">
            <w:pPr>
              <w:spacing w:line="360" w:lineRule="auto"/>
              <w:ind w:right="105" w:rightChars="50"/>
              <w:jc w:val="center"/>
              <w:rPr>
                <w:rFonts w:hint="eastAsia"/>
                <w:sz w:val="24"/>
              </w:rPr>
            </w:pPr>
            <w:r>
              <w:rPr>
                <w:rFonts w:ascii="宋体" w:hAnsi="宋体" w:cs="宋体"/>
                <w:sz w:val="24"/>
              </w:rPr>
              <w:t>分析</w:t>
            </w:r>
            <w:r>
              <w:rPr>
                <w:rFonts w:hint="eastAsia" w:ascii="宋体" w:hAnsi="宋体" w:cs="宋体"/>
                <w:sz w:val="24"/>
              </w:rPr>
              <w:t>控制</w:t>
            </w:r>
            <w:r>
              <w:rPr>
                <w:rFonts w:ascii="宋体" w:hAnsi="宋体" w:cs="宋体"/>
                <w:sz w:val="24"/>
              </w:rPr>
              <w:t>实验结果</w:t>
            </w:r>
            <w:r>
              <w:rPr>
                <w:rFonts w:hint="eastAsia" w:ascii="宋体" w:hAnsi="宋体" w:cs="宋体"/>
                <w:sz w:val="24"/>
              </w:rPr>
              <w:t>，</w:t>
            </w:r>
            <w:r>
              <w:rPr>
                <w:rFonts w:ascii="宋体" w:hAnsi="宋体" w:cs="宋体"/>
                <w:sz w:val="24"/>
              </w:rPr>
              <w:t>完成论文和答辩准备</w:t>
            </w:r>
          </w:p>
        </w:tc>
      </w:tr>
    </w:tbl>
    <w:p w14:paraId="07071CA0">
      <w:pPr>
        <w:ind w:firstLine="720" w:firstLineChars="400"/>
        <w:rPr>
          <w:rFonts w:hint="eastAsia"/>
          <w:sz w:val="18"/>
          <w:szCs w:val="18"/>
        </w:rPr>
      </w:pPr>
    </w:p>
    <w:p w14:paraId="62C66E86">
      <w:pPr>
        <w:ind w:firstLine="720" w:firstLineChars="400"/>
        <w:rPr>
          <w:rFonts w:hint="eastAsia"/>
          <w:sz w:val="18"/>
          <w:szCs w:val="18"/>
        </w:rPr>
      </w:pPr>
    </w:p>
    <w:p w14:paraId="5C321619">
      <w:pPr>
        <w:ind w:firstLine="720" w:firstLineChars="400"/>
        <w:rPr>
          <w:rFonts w:hint="eastAsia"/>
          <w:sz w:val="18"/>
          <w:szCs w:val="18"/>
        </w:rPr>
      </w:pPr>
    </w:p>
    <w:p w14:paraId="685B916C">
      <w:pPr>
        <w:ind w:firstLine="720" w:firstLineChars="400"/>
        <w:rPr>
          <w:rFonts w:hint="eastAsia"/>
          <w:sz w:val="18"/>
          <w:szCs w:val="18"/>
        </w:rPr>
      </w:pPr>
    </w:p>
    <w:p w14:paraId="33313BDC">
      <w:pPr>
        <w:ind w:firstLine="720" w:firstLineChars="400"/>
        <w:rPr>
          <w:rFonts w:hint="eastAsia"/>
          <w:sz w:val="18"/>
          <w:szCs w:val="18"/>
        </w:rPr>
      </w:pPr>
    </w:p>
    <w:p w14:paraId="6A877896">
      <w:pPr>
        <w:ind w:left="3360" w:leftChars="1600" w:firstLine="960" w:firstLineChars="400"/>
        <w:rPr>
          <w:rFonts w:hint="eastAsia"/>
          <w:sz w:val="24"/>
        </w:rPr>
      </w:pPr>
    </w:p>
    <w:p w14:paraId="059231F2">
      <w:pPr>
        <w:ind w:left="3360" w:leftChars="1600" w:firstLine="960" w:firstLineChars="400"/>
        <w:rPr>
          <w:rFonts w:hint="eastAsia"/>
          <w:sz w:val="24"/>
        </w:rPr>
      </w:pPr>
      <w:r>
        <w:rPr>
          <w:rFonts w:hint="eastAsia"/>
          <w:sz w:val="24"/>
        </w:rPr>
        <w:t xml:space="preserve">学生签名：       </w:t>
      </w:r>
    </w:p>
    <w:p w14:paraId="305B672E">
      <w:pPr>
        <w:ind w:left="3360" w:leftChars="1600" w:firstLine="960" w:firstLineChars="400"/>
        <w:rPr>
          <w:rFonts w:hint="eastAsia"/>
          <w:sz w:val="24"/>
        </w:rPr>
      </w:pPr>
    </w:p>
    <w:p w14:paraId="63043B81">
      <w:pPr>
        <w:ind w:left="840" w:leftChars="400"/>
        <w:rPr>
          <w:rFonts w:hint="eastAsia"/>
          <w:sz w:val="24"/>
        </w:rPr>
      </w:pPr>
      <w:r>
        <w:rPr>
          <w:rFonts w:hint="eastAsia"/>
          <w:sz w:val="24"/>
        </w:rPr>
        <w:t xml:space="preserve">                                           年     月     日</w:t>
      </w:r>
    </w:p>
    <w:p w14:paraId="1C9A306D">
      <w:pPr>
        <w:spacing w:line="400" w:lineRule="exact"/>
        <w:rPr>
          <w:rFonts w:hint="eastAsia" w:ascii="黑体" w:hAnsi="黑体" w:eastAsia="黑体"/>
          <w:sz w:val="32"/>
          <w:szCs w:val="32"/>
        </w:rPr>
      </w:pPr>
      <w:r>
        <w:rPr>
          <w:rFonts w:hint="eastAsia" w:ascii="黑体" w:hAnsi="黑体" w:eastAsia="黑体"/>
          <w:sz w:val="32"/>
          <w:szCs w:val="32"/>
        </w:rPr>
        <w:t>四、指导教师意见</w:t>
      </w:r>
    </w:p>
    <w:p w14:paraId="5094710F">
      <w:pPr>
        <w:ind w:firstLine="720" w:firstLineChars="400"/>
        <w:rPr>
          <w:rFonts w:hint="eastAsia"/>
          <w:sz w:val="18"/>
          <w:szCs w:val="18"/>
        </w:rPr>
      </w:pPr>
    </w:p>
    <w:p w14:paraId="68FB7C68">
      <w:pPr>
        <w:ind w:firstLine="720" w:firstLineChars="400"/>
        <w:rPr>
          <w:rFonts w:hint="eastAsia"/>
          <w:sz w:val="18"/>
          <w:szCs w:val="18"/>
        </w:rPr>
      </w:pPr>
    </w:p>
    <w:p w14:paraId="16B2FA8B">
      <w:pPr>
        <w:ind w:firstLine="720" w:firstLineChars="400"/>
        <w:rPr>
          <w:rFonts w:hint="eastAsia"/>
          <w:sz w:val="18"/>
          <w:szCs w:val="18"/>
        </w:rPr>
      </w:pPr>
    </w:p>
    <w:p w14:paraId="52365482">
      <w:pPr>
        <w:ind w:firstLine="720" w:firstLineChars="400"/>
        <w:rPr>
          <w:rFonts w:hint="eastAsia"/>
          <w:sz w:val="18"/>
          <w:szCs w:val="18"/>
        </w:rPr>
      </w:pPr>
    </w:p>
    <w:p w14:paraId="16A5F53D">
      <w:pPr>
        <w:ind w:firstLine="720" w:firstLineChars="400"/>
        <w:rPr>
          <w:rFonts w:hint="eastAsia"/>
          <w:sz w:val="18"/>
          <w:szCs w:val="18"/>
        </w:rPr>
      </w:pPr>
    </w:p>
    <w:p w14:paraId="0552409F">
      <w:pPr>
        <w:ind w:firstLine="720" w:firstLineChars="400"/>
        <w:rPr>
          <w:rFonts w:hint="eastAsia"/>
          <w:sz w:val="18"/>
          <w:szCs w:val="18"/>
        </w:rPr>
      </w:pPr>
    </w:p>
    <w:p w14:paraId="2908C708">
      <w:pPr>
        <w:ind w:firstLine="720" w:firstLineChars="400"/>
        <w:rPr>
          <w:rFonts w:hint="eastAsia"/>
          <w:sz w:val="18"/>
          <w:szCs w:val="18"/>
        </w:rPr>
      </w:pPr>
    </w:p>
    <w:p w14:paraId="5CF9230F">
      <w:pPr>
        <w:spacing w:line="360" w:lineRule="auto"/>
        <w:ind w:left="50" w:leftChars="24" w:right="50" w:firstLine="4341" w:firstLineChars="1809"/>
        <w:rPr>
          <w:rFonts w:hint="eastAsia"/>
          <w:sz w:val="24"/>
        </w:rPr>
      </w:pPr>
      <w:r>
        <w:rPr>
          <w:rFonts w:hint="eastAsia"/>
          <w:sz w:val="24"/>
        </w:rPr>
        <w:t xml:space="preserve">指导教师签名： </w:t>
      </w:r>
    </w:p>
    <w:p w14:paraId="361D7E33">
      <w:pPr>
        <w:spacing w:line="360" w:lineRule="auto"/>
        <w:ind w:left="50" w:leftChars="24" w:right="50" w:firstLine="4341" w:firstLineChars="1809"/>
        <w:rPr>
          <w:rFonts w:hint="eastAsia"/>
          <w:sz w:val="24"/>
        </w:rPr>
      </w:pPr>
      <w:r>
        <w:rPr>
          <w:rFonts w:hint="eastAsia"/>
          <w:sz w:val="24"/>
        </w:rPr>
        <w:t>校外指导教师签名：</w:t>
      </w:r>
    </w:p>
    <w:p w14:paraId="34977897">
      <w:pPr>
        <w:spacing w:line="360" w:lineRule="auto"/>
        <w:ind w:left="50" w:leftChars="24" w:right="50" w:firstLine="4341" w:firstLineChars="1809"/>
        <w:rPr>
          <w:rFonts w:hint="eastAsia"/>
          <w:sz w:val="24"/>
        </w:rPr>
      </w:pPr>
    </w:p>
    <w:p w14:paraId="0B67542F">
      <w:pPr>
        <w:rPr>
          <w:rFonts w:hint="eastAsia"/>
          <w:szCs w:val="21"/>
        </w:rPr>
      </w:pPr>
      <w:r>
        <w:rPr>
          <w:rFonts w:hint="eastAsia"/>
          <w:sz w:val="24"/>
        </w:rPr>
        <w:t xml:space="preserve">                                                 年     月     日</w:t>
      </w:r>
    </w:p>
    <w:p w14:paraId="105BABC7">
      <w:pPr>
        <w:spacing w:line="360" w:lineRule="auto"/>
        <w:rPr>
          <w:rFonts w:hint="eastAsia"/>
          <w:szCs w:val="21"/>
        </w:rPr>
      </w:pPr>
      <w:r>
        <w:rPr>
          <w:rFonts w:hint="eastAsia"/>
          <w:szCs w:val="21"/>
        </w:rPr>
        <w:t>说明：</w:t>
      </w:r>
    </w:p>
    <w:p w14:paraId="1937C247">
      <w:pPr>
        <w:rPr>
          <w:rFonts w:hint="eastAsia"/>
        </w:rPr>
      </w:pPr>
      <w:r>
        <w:rPr>
          <w:rFonts w:hint="eastAsia"/>
        </w:rPr>
        <w:t xml:space="preserve">1．开题报告应根据教师下发的毕业论文（设计）任务书，在教师的指导下由学生独立撰写。 </w:t>
      </w:r>
    </w:p>
    <w:p w14:paraId="04CFFD2A">
      <w:pPr>
        <w:rPr>
          <w:rFonts w:hint="eastAsia"/>
        </w:rPr>
      </w:pPr>
      <w:r>
        <w:rPr>
          <w:rFonts w:hint="eastAsia"/>
        </w:rPr>
        <w:t>2．本页不够，请加页。</w:t>
      </w:r>
    </w:p>
    <w:p w14:paraId="059437B4">
      <w:pPr>
        <w:rPr>
          <w:rFonts w:ascii="宋体" w:hAnsi="宋体"/>
          <w:bCs/>
          <w:sz w:val="28"/>
          <w:szCs w:val="28"/>
        </w:rPr>
        <w:sectPr>
          <w:headerReference r:id="rId3" w:type="default"/>
          <w:footerReference r:id="rId4" w:type="default"/>
          <w:pgSz w:w="11907" w:h="16840"/>
          <w:pgMar w:top="1701" w:right="1418" w:bottom="1418" w:left="1418" w:header="907" w:footer="851" w:gutter="567"/>
          <w:pgNumType w:start="1"/>
          <w:cols w:space="720" w:num="1"/>
          <w:docGrid w:type="linesAndChars" w:linePitch="312" w:charSpace="0"/>
        </w:sectPr>
      </w:pPr>
    </w:p>
    <w:p w14:paraId="7FC464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60101010101"/>
    <w:charset w:val="86"/>
    <w:family w:val="modern"/>
    <w:pitch w:val="default"/>
    <w:sig w:usb0="00000000" w:usb1="00000000"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D681">
    <w:pPr>
      <w:pStyle w:val="3"/>
      <w:jc w:val="center"/>
    </w:pPr>
    <w:r>
      <w:rPr>
        <w:rFonts w:hint="eastAsia"/>
      </w:rPr>
      <w:t>B</w:t>
    </w:r>
    <w:r>
      <w:fldChar w:fldCharType="begin"/>
    </w:r>
    <w:r>
      <w:instrText xml:space="preserve">PAGE   \* MERGEFORMAT</w:instrText>
    </w:r>
    <w:r>
      <w:fldChar w:fldCharType="separate"/>
    </w:r>
    <w:r>
      <w:rPr>
        <w:lang w:val="zh-CN"/>
      </w:rPr>
      <w:t>2</w:t>
    </w:r>
    <w:r>
      <w:fldChar w:fldCharType="end"/>
    </w:r>
  </w:p>
  <w:p w14:paraId="15908414">
    <w:pPr>
      <w:pStyle w:val="3"/>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72B0C">
    <w:pPr>
      <w:pStyle w:val="4"/>
      <w:tabs>
        <w:tab w:val="center" w:pos="4535"/>
        <w:tab w:val="right" w:pos="9071"/>
        <w:tab w:val="clear" w:pos="4153"/>
        <w:tab w:val="clear" w:pos="8306"/>
      </w:tabs>
    </w:pPr>
    <w:r>
      <w:rPr>
        <w:rFonts w:hint="eastAsia"/>
      </w:rPr>
      <w:t>重庆大学本科学生毕业论文（设计）</w:t>
    </w:r>
    <w:r>
      <w:tab/>
    </w:r>
    <w:r>
      <w:rPr>
        <w:rFonts w:hint="eastAsia"/>
      </w:rPr>
      <w:t xml:space="preserve">                                              附件B：开题报告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C811F"/>
    <w:multiLevelType w:val="singleLevel"/>
    <w:tmpl w:val="8F5C811F"/>
    <w:lvl w:ilvl="0" w:tentative="0">
      <w:start w:val="2"/>
      <w:numFmt w:val="decimal"/>
      <w:lvlText w:val="%1."/>
      <w:lvlJc w:val="left"/>
      <w:pPr>
        <w:tabs>
          <w:tab w:val="left" w:pos="312"/>
        </w:tabs>
      </w:pPr>
    </w:lvl>
  </w:abstractNum>
  <w:abstractNum w:abstractNumId="1">
    <w:nsid w:val="9427A783"/>
    <w:multiLevelType w:val="singleLevel"/>
    <w:tmpl w:val="9427A783"/>
    <w:lvl w:ilvl="0" w:tentative="0">
      <w:start w:val="2"/>
      <w:numFmt w:val="decimal"/>
      <w:suff w:val="space"/>
      <w:lvlText w:val="%1."/>
      <w:lvlJc w:val="left"/>
    </w:lvl>
  </w:abstractNum>
  <w:abstractNum w:abstractNumId="2">
    <w:nsid w:val="CA6F7EAC"/>
    <w:multiLevelType w:val="singleLevel"/>
    <w:tmpl w:val="CA6F7EAC"/>
    <w:lvl w:ilvl="0" w:tentative="0">
      <w:start w:val="2"/>
      <w:numFmt w:val="decimal"/>
      <w:suff w:val="space"/>
      <w:lvlText w:val="%1."/>
      <w:lvlJc w:val="left"/>
    </w:lvl>
  </w:abstractNum>
  <w:abstractNum w:abstractNumId="3">
    <w:nsid w:val="DB0CA8EF"/>
    <w:multiLevelType w:val="singleLevel"/>
    <w:tmpl w:val="DB0CA8EF"/>
    <w:lvl w:ilvl="0" w:tentative="0">
      <w:start w:val="2"/>
      <w:numFmt w:val="decimal"/>
      <w:suff w:val="space"/>
      <w:lvlText w:val="%1."/>
      <w:lvlJc w:val="left"/>
    </w:lvl>
  </w:abstractNum>
  <w:abstractNum w:abstractNumId="4">
    <w:nsid w:val="F0122053"/>
    <w:multiLevelType w:val="singleLevel"/>
    <w:tmpl w:val="F0122053"/>
    <w:lvl w:ilvl="0" w:tentative="0">
      <w:start w:val="2"/>
      <w:numFmt w:val="decimal"/>
      <w:suff w:val="space"/>
      <w:lvlText w:val="%1."/>
      <w:lvlJc w:val="left"/>
    </w:lvl>
  </w:abstractNum>
  <w:abstractNum w:abstractNumId="5">
    <w:nsid w:val="29F0AAF8"/>
    <w:multiLevelType w:val="singleLevel"/>
    <w:tmpl w:val="29F0AAF8"/>
    <w:lvl w:ilvl="0" w:tentative="0">
      <w:start w:val="2"/>
      <w:numFmt w:val="decimal"/>
      <w:suff w:val="space"/>
      <w:lvlText w:val="%1."/>
      <w:lvlJc w:val="left"/>
    </w:lvl>
  </w:abstractNum>
  <w:abstractNum w:abstractNumId="6">
    <w:nsid w:val="5AD14419"/>
    <w:multiLevelType w:val="singleLevel"/>
    <w:tmpl w:val="5AD14419"/>
    <w:lvl w:ilvl="0" w:tentative="0">
      <w:start w:val="2"/>
      <w:numFmt w:val="decimal"/>
      <w:suff w:val="space"/>
      <w:lvlText w:val="%1."/>
      <w:lvlJc w:val="left"/>
    </w:lvl>
  </w:abstractNum>
  <w:abstractNum w:abstractNumId="7">
    <w:nsid w:val="5FE1C828"/>
    <w:multiLevelType w:val="singleLevel"/>
    <w:tmpl w:val="5FE1C828"/>
    <w:lvl w:ilvl="0" w:tentative="0">
      <w:start w:val="1"/>
      <w:numFmt w:val="decimal"/>
      <w:suff w:val="space"/>
      <w:lvlText w:val="%1."/>
      <w:lvlJc w:val="left"/>
    </w:lvl>
  </w:abstractNum>
  <w:num w:numId="1">
    <w:abstractNumId w:val="7"/>
  </w:num>
  <w:num w:numId="2">
    <w:abstractNumId w:val="0"/>
  </w:num>
  <w:num w:numId="3">
    <w:abstractNumId w:val="1"/>
  </w:num>
  <w:num w:numId="4">
    <w:abstractNumId w:val="2"/>
  </w:num>
  <w:num w:numId="5">
    <w:abstractNumId w:val="6"/>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B1C0E"/>
    <w:rsid w:val="03DC2529"/>
    <w:rsid w:val="07FC38B7"/>
    <w:rsid w:val="084D5692"/>
    <w:rsid w:val="0B7A42BB"/>
    <w:rsid w:val="0CE71B86"/>
    <w:rsid w:val="118045F5"/>
    <w:rsid w:val="11E94B49"/>
    <w:rsid w:val="12486EC1"/>
    <w:rsid w:val="1288527F"/>
    <w:rsid w:val="168D7D37"/>
    <w:rsid w:val="18AC5CCF"/>
    <w:rsid w:val="193D7B2F"/>
    <w:rsid w:val="1B9211AC"/>
    <w:rsid w:val="1BB2644B"/>
    <w:rsid w:val="1D3C79E6"/>
    <w:rsid w:val="1EFA3E49"/>
    <w:rsid w:val="20631369"/>
    <w:rsid w:val="20747E19"/>
    <w:rsid w:val="20950ADB"/>
    <w:rsid w:val="21661111"/>
    <w:rsid w:val="24787F3D"/>
    <w:rsid w:val="24FA2B76"/>
    <w:rsid w:val="25E036C2"/>
    <w:rsid w:val="27005B64"/>
    <w:rsid w:val="279156F1"/>
    <w:rsid w:val="28133675"/>
    <w:rsid w:val="28223473"/>
    <w:rsid w:val="29B03871"/>
    <w:rsid w:val="2AA77BF4"/>
    <w:rsid w:val="2EB0153E"/>
    <w:rsid w:val="2F6B56EC"/>
    <w:rsid w:val="36E77615"/>
    <w:rsid w:val="372E02DD"/>
    <w:rsid w:val="37EC6A27"/>
    <w:rsid w:val="3A596D84"/>
    <w:rsid w:val="3CE138EA"/>
    <w:rsid w:val="40C56E99"/>
    <w:rsid w:val="44317C9A"/>
    <w:rsid w:val="4629258A"/>
    <w:rsid w:val="4D302450"/>
    <w:rsid w:val="4FA72909"/>
    <w:rsid w:val="52B15DE1"/>
    <w:rsid w:val="535B3A6F"/>
    <w:rsid w:val="53BE0F09"/>
    <w:rsid w:val="5E543AC4"/>
    <w:rsid w:val="6059557A"/>
    <w:rsid w:val="618741B1"/>
    <w:rsid w:val="62C17277"/>
    <w:rsid w:val="632B037A"/>
    <w:rsid w:val="681D536B"/>
    <w:rsid w:val="6DAD58F7"/>
    <w:rsid w:val="6DD30EA9"/>
    <w:rsid w:val="6F074B65"/>
    <w:rsid w:val="6FA6277F"/>
    <w:rsid w:val="70B2229F"/>
    <w:rsid w:val="73B777A0"/>
    <w:rsid w:val="77EB22DF"/>
    <w:rsid w:val="78825300"/>
    <w:rsid w:val="79050778"/>
    <w:rsid w:val="79C91E1F"/>
    <w:rsid w:val="7BB73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9240</Words>
  <Characters>10748</Characters>
  <Lines>0</Lines>
  <Paragraphs>0</Paragraphs>
  <TotalTime>7</TotalTime>
  <ScaleCrop>false</ScaleCrop>
  <LinksUpToDate>false</LinksUpToDate>
  <CharactersWithSpaces>11169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2025-12-17T15:34:00Z</dcterms:created>
  <dc:creator>18438</dc:creator>
  <cp:lastModifiedBy>anna</cp:lastModifiedBy>
  <dcterms:modified xsi:type="dcterms:W3CDTF">2026-01-07T15:15:46Z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eyJoZGlkIjoiY2Q4OWJiNzllNjdjOTMwOWJkM2M4OGNiMTUzZDM0ZGIiLCJ1c2VySWQiOiI3NDgwNjExNjMifQ==</vt:lpwstr>
  </property>
  <property fmtid="{D5CDD505-2E9C-101B-9397-08002B2CF9AE}" pid="4" name="ICV">
    <vt:lpwstr>00032D7BE8D5480389560AFAA8746E5B_12</vt:lpwstr>
  </property>
</Properties>
</file>