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983" w:rsidRPr="00441983" w:rsidRDefault="00441983" w:rsidP="00441983">
      <w:pPr>
        <w:widowControl/>
        <w:spacing w:after="240" w:line="300" w:lineRule="atLeast"/>
        <w:jc w:val="center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44"/>
          <w:szCs w:val="44"/>
        </w:rPr>
        <w:t>东留春乡2017年部门预算公开说明</w:t>
      </w:r>
    </w:p>
    <w:p w:rsidR="00441983" w:rsidRPr="00441983" w:rsidRDefault="00441983" w:rsidP="00441983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Cs w:val="21"/>
        </w:rPr>
        <w:t> </w:t>
      </w:r>
    </w:p>
    <w:p w:rsidR="00441983" w:rsidRPr="00441983" w:rsidRDefault="00441983" w:rsidP="00441983">
      <w:pPr>
        <w:widowControl/>
        <w:spacing w:after="240" w:line="300" w:lineRule="atLeast"/>
        <w:ind w:firstLine="72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6"/>
          <w:szCs w:val="36"/>
        </w:rPr>
        <w:t>一、本部门职责、机构设置等基本情况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东留春乡政府部门职责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b/>
          <w:bCs/>
          <w:color w:val="2C3E50"/>
          <w:spacing w:val="-15"/>
          <w:kern w:val="0"/>
          <w:sz w:val="32"/>
        </w:rPr>
        <w:t> </w:t>
      </w:r>
      <w:r w:rsidRPr="00441983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东留春乡办公室职责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（一）</w:t>
      </w:r>
      <w:r w:rsidRPr="00441983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 </w:t>
      </w:r>
      <w:r w:rsidRPr="00441983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党政办公室，其主要职责是：负责党委、政府的日常事务，党政各项决定的督促落实，重要文件、讲话稿的起草、审核把关工作；负责机构人员编制的日常管理工作；负责党建工作，抓好党员队伍的思想、组织、作风建设；负责日常文书处理、档案和印鉴管理、机要通信和保密、收发等工作；负责群众来信来访工作；办理党政领导交办的其他事宜等工作。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lastRenderedPageBreak/>
        <w:t>（二）</w:t>
      </w:r>
      <w:r w:rsidRPr="00441983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 </w:t>
      </w:r>
      <w:r w:rsidRPr="00441983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财经办公室，其主要职责是：负责农村合作经济管理；制定乡财政年度收支预算和决算；严格控制财政支出，确保财政收支平衡；帮助、指导和监督本乡经济组织和村（街）的财务管理工作；承办党委、政府交办的其他事项。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东留春乡三个服务中心职责：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（一）</w:t>
      </w:r>
      <w:r w:rsidRPr="00441983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 </w:t>
      </w:r>
      <w:r w:rsidRPr="00441983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农业综合服务中心，其主要职责是：承担全乡农业技术推广任务；承担全乡农业机械管理工作；负责农业相关法律、法规、条例和政策的宣传工作；做好农业技术推广工作；承担乡党委和政府交办的其他任务。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（二）</w:t>
      </w:r>
      <w:r w:rsidRPr="00441983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 </w:t>
      </w:r>
      <w:r w:rsidRPr="00441983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计划生育服务中心，其主要职责是：贯彻执行国家计生法规、条例和方针政策，落实我市人口、计生工作的规章制度和办法；宣传计划生育政策、法规及人口与计划生育基础知识；对各村街计划生育工作进行指导、管理和考核；负责各村街计划生育兼职人员的培训工作；检查各村街计划生育工作，承办乡党委和政府交办的其他工作。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lastRenderedPageBreak/>
        <w:t>（三）</w:t>
      </w:r>
      <w:r w:rsidRPr="00441983">
        <w:rPr>
          <w:rFonts w:ascii="仿宋_GB2312" w:eastAsia="仿宋_GB2312" w:hAnsi="微软雅黑" w:cs="宋体" w:hint="eastAsia"/>
          <w:color w:val="2C3E50"/>
          <w:spacing w:val="-15"/>
          <w:kern w:val="0"/>
          <w:sz w:val="29"/>
          <w:szCs w:val="29"/>
        </w:rPr>
        <w:t> </w:t>
      </w:r>
      <w:r w:rsidRPr="00441983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文化广播服务中心，其主要职责是：运用各种文化艺术手段，对乡群众进行爱国主义、集体主义和社会主义宣传教育；组织群众性文艺、体育活动；辅导培训群众文艺骨干，做好文物宣传保护工作；指导各村文化工作，对乡文化市场进行监督、检查与管理；承担乡领导交办的其他任务。</w:t>
      </w:r>
    </w:p>
    <w:p w:rsidR="00441983" w:rsidRPr="00441983" w:rsidRDefault="00441983" w:rsidP="00441983">
      <w:pPr>
        <w:widowControl/>
        <w:spacing w:after="240" w:line="300" w:lineRule="atLeast"/>
        <w:ind w:firstLine="720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000000"/>
          <w:kern w:val="0"/>
          <w:sz w:val="36"/>
          <w:szCs w:val="36"/>
        </w:rPr>
        <w:t>东留春乡部门预算单位机构设置：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根据《定州市东留春乡人民政府职能配置、内设机构和人员编制方案》规定，东留春乡人民政府是乡镇一级人民政府，下设党政办公室和财经办公室，辖农业服务中心、文化服务中心和计划生育服务中心。</w:t>
      </w:r>
    </w:p>
    <w:p w:rsidR="00441983" w:rsidRPr="00441983" w:rsidRDefault="00441983" w:rsidP="00441983">
      <w:pPr>
        <w:widowControl/>
        <w:spacing w:after="240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方正小标宋_GBK" w:eastAsia="方正小标宋_GBK" w:hAnsi="Times New Roman" w:cs="Times New Roman" w:hint="eastAsia"/>
          <w:color w:val="2C3E50"/>
          <w:kern w:val="0"/>
          <w:sz w:val="44"/>
          <w:szCs w:val="44"/>
        </w:rPr>
        <w:t>部门基本情况表</w:t>
      </w:r>
    </w:p>
    <w:tbl>
      <w:tblPr>
        <w:tblW w:w="114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6"/>
        <w:gridCol w:w="901"/>
        <w:gridCol w:w="993"/>
        <w:gridCol w:w="1730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441983" w:rsidRPr="00441983" w:rsidTr="00441983">
        <w:trPr>
          <w:trHeight w:val="300"/>
        </w:trPr>
        <w:tc>
          <w:tcPr>
            <w:tcW w:w="9930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小标宋_GBK" w:eastAsia="方正小标宋_GBK" w:hAnsi="Times New Roman" w:cs="Times New Roman" w:hint="eastAsia"/>
                <w:color w:val="2C3E50"/>
                <w:kern w:val="0"/>
                <w:sz w:val="24"/>
                <w:szCs w:val="24"/>
              </w:rPr>
              <w:t>920东留春乡</w:t>
            </w:r>
          </w:p>
        </w:tc>
        <w:tc>
          <w:tcPr>
            <w:tcW w:w="4230" w:type="dxa"/>
            <w:gridSpan w:val="6"/>
            <w:tcBorders>
              <w:top w:val="single" w:sz="6" w:space="0" w:color="FFFFFF"/>
              <w:left w:val="nil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小标宋_GBK" w:eastAsia="方正小标宋_GBK" w:hAnsi="Times New Roman" w:cs="Times New Roman" w:hint="eastAsia"/>
                <w:color w:val="2C3E50"/>
                <w:kern w:val="0"/>
                <w:sz w:val="24"/>
                <w:szCs w:val="24"/>
              </w:rPr>
              <w:t>单位：人</w:t>
            </w:r>
          </w:p>
        </w:tc>
      </w:tr>
      <w:tr w:rsidR="00441983" w:rsidRPr="00441983" w:rsidTr="00441983">
        <w:trPr>
          <w:trHeight w:val="300"/>
        </w:trPr>
        <w:tc>
          <w:tcPr>
            <w:tcW w:w="379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b/>
                <w:bCs/>
                <w:color w:val="2C3E50"/>
                <w:kern w:val="0"/>
              </w:rPr>
              <w:t>单位名称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b/>
                <w:bCs/>
                <w:color w:val="2C3E50"/>
                <w:kern w:val="0"/>
              </w:rPr>
              <w:t>单位性质</w:t>
            </w:r>
          </w:p>
        </w:tc>
        <w:tc>
          <w:tcPr>
            <w:tcW w:w="126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b/>
                <w:bCs/>
                <w:color w:val="2C3E50"/>
                <w:kern w:val="0"/>
              </w:rPr>
              <w:t>单位规格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b/>
                <w:bCs/>
                <w:color w:val="2C3E50"/>
                <w:kern w:val="0"/>
              </w:rPr>
              <w:t>经费保障形式</w:t>
            </w:r>
          </w:p>
        </w:tc>
        <w:tc>
          <w:tcPr>
            <w:tcW w:w="70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b/>
                <w:bCs/>
                <w:color w:val="2C3E50"/>
                <w:kern w:val="0"/>
              </w:rPr>
              <w:t>车辆编制</w:t>
            </w:r>
            <w:r w:rsidRPr="00441983">
              <w:rPr>
                <w:rFonts w:ascii="方正书宋_GBK" w:eastAsia="方正书宋_GBK" w:hAnsi="Times New Roman" w:cs="Times New Roman" w:hint="eastAsia"/>
                <w:b/>
                <w:bCs/>
                <w:color w:val="2C3E50"/>
                <w:kern w:val="0"/>
              </w:rPr>
              <w:lastRenderedPageBreak/>
              <w:t>数</w:t>
            </w: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b/>
                <w:bCs/>
                <w:color w:val="2C3E50"/>
                <w:kern w:val="0"/>
              </w:rPr>
              <w:lastRenderedPageBreak/>
              <w:t>编制人数</w:t>
            </w: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b/>
                <w:bCs/>
                <w:color w:val="2C3E50"/>
                <w:kern w:val="0"/>
              </w:rPr>
              <w:t>在职人数</w:t>
            </w:r>
          </w:p>
        </w:tc>
        <w:tc>
          <w:tcPr>
            <w:tcW w:w="211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b/>
                <w:bCs/>
                <w:color w:val="2C3E50"/>
                <w:kern w:val="0"/>
              </w:rPr>
              <w:t>离退人数</w:t>
            </w:r>
          </w:p>
        </w:tc>
      </w:tr>
      <w:tr w:rsidR="00441983" w:rsidRPr="00441983" w:rsidTr="00441983">
        <w:trPr>
          <w:trHeight w:val="55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441983" w:rsidRPr="00441983" w:rsidRDefault="00441983" w:rsidP="004419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441983" w:rsidRPr="00441983" w:rsidRDefault="00441983" w:rsidP="004419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441983" w:rsidRPr="00441983" w:rsidRDefault="00441983" w:rsidP="004419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441983" w:rsidRPr="00441983" w:rsidRDefault="00441983" w:rsidP="004419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441983" w:rsidRPr="00441983" w:rsidRDefault="00441983" w:rsidP="004419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b/>
                <w:bCs/>
                <w:color w:val="2C3E50"/>
                <w:kern w:val="0"/>
              </w:rPr>
              <w:t>行政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b/>
                <w:bCs/>
                <w:color w:val="2C3E50"/>
                <w:kern w:val="0"/>
              </w:rPr>
              <w:t>事业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b/>
                <w:bCs/>
                <w:color w:val="2C3E50"/>
                <w:kern w:val="0"/>
              </w:rPr>
              <w:t>行政</w:t>
            </w:r>
          </w:p>
        </w:tc>
        <w:tc>
          <w:tcPr>
            <w:tcW w:w="7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b/>
                <w:bCs/>
                <w:color w:val="2C3E50"/>
                <w:kern w:val="0"/>
              </w:rPr>
              <w:t>事业</w:t>
            </w:r>
          </w:p>
        </w:tc>
        <w:tc>
          <w:tcPr>
            <w:tcW w:w="7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b/>
                <w:bCs/>
                <w:color w:val="2C3E50"/>
                <w:kern w:val="0"/>
              </w:rPr>
              <w:t>离休</w:t>
            </w:r>
          </w:p>
        </w:tc>
        <w:tc>
          <w:tcPr>
            <w:tcW w:w="7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b/>
                <w:bCs/>
                <w:color w:val="2C3E50"/>
                <w:kern w:val="0"/>
              </w:rPr>
              <w:t>退休</w:t>
            </w:r>
          </w:p>
        </w:tc>
        <w:tc>
          <w:tcPr>
            <w:tcW w:w="7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b/>
                <w:bCs/>
                <w:color w:val="2C3E50"/>
                <w:kern w:val="0"/>
              </w:rPr>
              <w:t>退职</w:t>
            </w:r>
          </w:p>
        </w:tc>
      </w:tr>
      <w:tr w:rsidR="00441983" w:rsidRPr="00441983" w:rsidTr="00441983">
        <w:trPr>
          <w:trHeight w:val="495"/>
        </w:trPr>
        <w:tc>
          <w:tcPr>
            <w:tcW w:w="37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b/>
                <w:bCs/>
                <w:color w:val="2C3E50"/>
                <w:kern w:val="0"/>
              </w:rPr>
              <w:lastRenderedPageBreak/>
              <w:t>合</w:t>
            </w:r>
            <w:r w:rsidRPr="00441983">
              <w:rPr>
                <w:rFonts w:ascii="方正书宋_GBK" w:eastAsia="方正书宋_GBK" w:hAnsi="Times New Roman" w:cs="Times New Roman" w:hint="eastAsia"/>
                <w:b/>
                <w:bCs/>
                <w:color w:val="2C3E50"/>
                <w:kern w:val="0"/>
              </w:rPr>
              <w:t>    </w:t>
            </w:r>
            <w:r w:rsidRPr="00441983">
              <w:rPr>
                <w:rFonts w:ascii="方正书宋_GBK" w:eastAsia="方正书宋_GBK" w:hAnsi="Times New Roman" w:cs="Times New Roman" w:hint="eastAsia"/>
                <w:b/>
                <w:bCs/>
                <w:color w:val="2C3E50"/>
                <w:kern w:val="0"/>
              </w:rPr>
              <w:t>计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b/>
                <w:bCs/>
                <w:color w:val="2C3E50"/>
                <w:kern w:val="0"/>
              </w:rPr>
              <w:t>27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b/>
                <w:bCs/>
                <w:color w:val="2C3E50"/>
                <w:kern w:val="0"/>
              </w:rPr>
              <w:t>21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b/>
                <w:bCs/>
                <w:color w:val="2C3E50"/>
                <w:kern w:val="0"/>
              </w:rPr>
              <w:t>27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465"/>
        </w:trPr>
        <w:tc>
          <w:tcPr>
            <w:tcW w:w="37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东留春乡党委办公室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行政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正科级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财政拨款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16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525"/>
        </w:trPr>
        <w:tc>
          <w:tcPr>
            <w:tcW w:w="37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东留春乡政府办公室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行政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正科级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财政拨款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8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12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540"/>
        </w:trPr>
        <w:tc>
          <w:tcPr>
            <w:tcW w:w="37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东留春乡财经办公室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行政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570"/>
        </w:trPr>
        <w:tc>
          <w:tcPr>
            <w:tcW w:w="37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东留春乡计生服务中心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事业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财政性资金定额或定项补助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6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5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615"/>
        </w:trPr>
        <w:tc>
          <w:tcPr>
            <w:tcW w:w="37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东留春农业服务中心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事业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财政性资金基本保证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14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5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585"/>
        </w:trPr>
        <w:tc>
          <w:tcPr>
            <w:tcW w:w="37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东留春文化广播服务中心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事业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财政性资金基本保证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方正书宋_GBK" w:eastAsia="方正书宋_GBK" w:hAnsi="Times New Roman" w:cs="Times New Roman" w:hint="eastAsia"/>
                <w:color w:val="2C3E50"/>
                <w:kern w:val="0"/>
                <w:szCs w:val="21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</w:tbl>
    <w:p w:rsidR="00441983" w:rsidRPr="00441983" w:rsidRDefault="00441983" w:rsidP="00441983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6"/>
          <w:szCs w:val="36"/>
        </w:rPr>
        <w:br w:type="page"/>
      </w:r>
    </w:p>
    <w:p w:rsidR="00441983" w:rsidRPr="00441983" w:rsidRDefault="00441983" w:rsidP="00441983">
      <w:pPr>
        <w:widowControl/>
        <w:spacing w:after="240" w:line="300" w:lineRule="atLeast"/>
        <w:ind w:firstLine="72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6"/>
          <w:szCs w:val="36"/>
        </w:rPr>
        <w:lastRenderedPageBreak/>
        <w:t> </w:t>
      </w:r>
    </w:p>
    <w:p w:rsidR="00441983" w:rsidRPr="00441983" w:rsidRDefault="00441983" w:rsidP="00441983">
      <w:pPr>
        <w:widowControl/>
        <w:spacing w:after="240" w:line="300" w:lineRule="atLeast"/>
        <w:ind w:firstLine="72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6"/>
          <w:szCs w:val="36"/>
        </w:rPr>
        <w:t>二、部门预算安排总体情况</w:t>
      </w:r>
    </w:p>
    <w:p w:rsidR="00441983" w:rsidRPr="00441983" w:rsidRDefault="00441983" w:rsidP="00441983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</w:t>
      </w:r>
    </w:p>
    <w:p w:rsidR="00441983" w:rsidRPr="00441983" w:rsidRDefault="00441983" w:rsidP="00441983">
      <w:pPr>
        <w:widowControl/>
        <w:spacing w:after="240" w:line="300" w:lineRule="atLeast"/>
        <w:ind w:firstLine="15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我部门本年收入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441983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</w:rPr>
        <w:t>543.30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万元，其中：财政拨款543.30万元；安排支出543.30万元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，其中：基本支出501.30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万元；项目支出42万元。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  <w:shd w:val="clear" w:color="auto" w:fill="FFFFFF"/>
        </w:rPr>
        <w:t>分部门支出情况：党委办公室安排支出110.19万元；政府办公室安排支出121.77万元；财经办公室安排支出22.28万元；社会保障和就业支出安排52.60万元；计生服务中心安排支出41.28万元；医疗保障安排支出19.82万元；农业服务中心安排支出107.55万元；对村级集体经济组织补助安排支出36万元；文化广播服务中心安排支出6.92万元;住房保障支出安排24.89万元。</w:t>
      </w:r>
    </w:p>
    <w:p w:rsidR="00441983" w:rsidRPr="00441983" w:rsidRDefault="00441983" w:rsidP="00441983">
      <w:pPr>
        <w:widowControl/>
        <w:spacing w:after="240" w:line="36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441983" w:rsidRPr="00441983" w:rsidRDefault="00441983" w:rsidP="00441983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三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6"/>
          <w:szCs w:val="36"/>
        </w:rPr>
        <w:t>、机关运行经费安排情况</w:t>
      </w:r>
    </w:p>
    <w:p w:rsidR="00441983" w:rsidRPr="00441983" w:rsidRDefault="00441983" w:rsidP="00441983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lastRenderedPageBreak/>
        <w:t>   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我部门安排机关运行经费45.98万元，其中：办公费3.78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万元、电费5.60万元、邮电费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0.62万元、办公取暖费6.00万元、差旅费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1.50万元、公务用车运行维护费3.60万元、公务交通补贴14.80万元、工会经费3.38万元、福利费2.70万元、其他办公运行费4.00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万元。</w:t>
      </w:r>
    </w:p>
    <w:p w:rsidR="00441983" w:rsidRPr="00441983" w:rsidRDefault="00441983" w:rsidP="00441983">
      <w:pPr>
        <w:widowControl/>
        <w:spacing w:after="240" w:line="300" w:lineRule="atLeast"/>
        <w:ind w:firstLine="72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6"/>
          <w:szCs w:val="36"/>
        </w:rPr>
        <w:t> </w:t>
      </w:r>
    </w:p>
    <w:p w:rsidR="00441983" w:rsidRPr="00441983" w:rsidRDefault="00441983" w:rsidP="00441983">
      <w:pPr>
        <w:widowControl/>
        <w:spacing w:after="240" w:line="300" w:lineRule="atLeast"/>
        <w:ind w:firstLine="72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6"/>
          <w:szCs w:val="36"/>
        </w:rPr>
        <w:t>四、财政拨款“三公”经费预算情况</w:t>
      </w:r>
    </w:p>
    <w:p w:rsidR="00441983" w:rsidRPr="00441983" w:rsidRDefault="00441983" w:rsidP="00441983">
      <w:pPr>
        <w:widowControl/>
        <w:spacing w:line="300" w:lineRule="atLeast"/>
        <w:ind w:left="15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因公出国（境）费安排0 万元。公务用车购置及运行费3.6万元，其中：公务用车购置费0 万元、公务用车运行费 3.6 万元。公务接待费0 万元。与上年预算相比无增减，主要原因为：我单位继续坚决执行党中央八项规定，厉行节约，反对铺张浪费，严格控制公务用车及公务接待活动。</w:t>
      </w:r>
    </w:p>
    <w:p w:rsidR="00441983" w:rsidRPr="00441983" w:rsidRDefault="00441983" w:rsidP="00441983">
      <w:pPr>
        <w:widowControl/>
        <w:spacing w:line="300" w:lineRule="atLeast"/>
        <w:ind w:left="15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</w:t>
      </w:r>
    </w:p>
    <w:p w:rsidR="00441983" w:rsidRPr="00441983" w:rsidRDefault="00441983" w:rsidP="00441983">
      <w:pPr>
        <w:widowControl/>
        <w:spacing w:line="300" w:lineRule="atLeast"/>
        <w:ind w:left="15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6"/>
          <w:szCs w:val="36"/>
        </w:rPr>
        <w:t>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6"/>
          <w:szCs w:val="36"/>
        </w:rPr>
        <w:t>五、绩效预算信息情况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441983" w:rsidRPr="00441983" w:rsidRDefault="00441983" w:rsidP="00441983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6"/>
          <w:szCs w:val="36"/>
        </w:rPr>
        <w:t> 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6"/>
          <w:szCs w:val="36"/>
        </w:rPr>
        <w:t>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6"/>
          <w:szCs w:val="36"/>
        </w:rPr>
        <w:t>总体绩效目标：</w:t>
      </w:r>
    </w:p>
    <w:p w:rsidR="00441983" w:rsidRPr="00441983" w:rsidRDefault="00441983" w:rsidP="00441983">
      <w:pPr>
        <w:widowControl/>
        <w:spacing w:after="240" w:line="300" w:lineRule="atLeast"/>
        <w:ind w:firstLine="30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lastRenderedPageBreak/>
        <w:t>   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2017年我们将继续在市委、市政府的正确领导下，认真贯彻党的十八界六中全会精神，圆满完成上级交办的各项任务目标。同时，按照“党建争一流、发展创新高、稳定保平安”的工作思路，努力打造一个环境优美、经济发展、和谐稳定的新留春。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一、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6"/>
          <w:szCs w:val="36"/>
        </w:rPr>
        <w:t>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6"/>
          <w:szCs w:val="36"/>
        </w:rPr>
        <w:t>职责分类绩效目标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（一）经济指标实现新突破。进一步加快经济发展步伐，按照市下达的各项任务目标要求的基础，自我加压，确保超额完成。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（二）民生工作取得新成就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                                                         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1、文教卫生工作。大力推进学校项目建设，确保年内全部完工并投用；东留春乡卫生院迁建工作稳步推进，加大投入力度，实施技术革新，在软硬件建设上下功夫，大力改善医疗条件。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2、交通工作。加大乡村路网建设，多方筹措资金，对辖区村内公路进行完善。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3、饮水工程。推进东留春水厂建设，确保年内各村吃上“放心水”，确保群众饮水安全。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lastRenderedPageBreak/>
        <w:t>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4、文化项目建设。加快大王耨红色基地建设，确保年中孙志远纪念馆项目初步完工，并进一步挖掘相关历史遗存，大力弘扬红色文化。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5、农业农村工作。推进黑小麦种植基地建设，并进一步推广，加大辐射力度，形成规模化种植，“一条龙”发展。引导群众科学种植中药材，扩大种植面积，切实增加群众收入。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6、环境保护工作。严格按照上级大气污染防治精神，落实环保责任制，确保辖区不冒一股烟、不着一把火，严厉取缔污染企业，确保各项排放指标达标。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（三）稳定工作更加和谐。进一步巩固稳定成果，关注新出现的苗头和隐患，关心上访老户状况，确保不发生进京赴省和进市访。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（四）党建工作更上新台阶。进一步加强基层组织建设工作，大力培树更多优秀支部，加强各村“两委”建设，为“两委”换届工作打下坚实基地。</w:t>
      </w:r>
    </w:p>
    <w:p w:rsidR="00441983" w:rsidRPr="00441983" w:rsidRDefault="00441983" w:rsidP="00441983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二、实现年度发展规划目标的保障措施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lastRenderedPageBreak/>
        <w:t>为确保项目顺利实施，乡党委、政府对每个项目认真谋划，积极运作，大力筹措，稳步推进。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1、加大土地整合力度。对东留春和西留春村南沙河北岸闲散地进行规划，预计整合土地近千亩，为木件加工产业园区和养殖小区等项目提供充足用地。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2、加大宣传力度。对辖区内所有木件加工企业进行入园宣传，介绍入园的好处，争取他们的支持配合。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3、加大招商引资力度，吸引有实力的投资商建设联营共建，或通过出租、联建等多种形式，把那些无能力或资金紧张的商户转移到园区。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5、加强学习交流，积极组织相关人员和经营户到外地学习考察，引进先进的管理技术和先进的设备，吸引懂技术会管理的人才来我地就业。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lastRenderedPageBreak/>
        <w:t> 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441983" w:rsidRPr="00441983" w:rsidRDefault="00441983" w:rsidP="00441983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br w:type="page"/>
      </w:r>
    </w:p>
    <w:p w:rsidR="00441983" w:rsidRPr="00441983" w:rsidRDefault="00441983" w:rsidP="00441983">
      <w:pPr>
        <w:widowControl/>
        <w:spacing w:after="240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lastRenderedPageBreak/>
        <w:t>部门职责-工作活动绩效目标</w:t>
      </w:r>
    </w:p>
    <w:tbl>
      <w:tblPr>
        <w:tblW w:w="114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1"/>
        <w:gridCol w:w="1125"/>
        <w:gridCol w:w="2326"/>
        <w:gridCol w:w="2326"/>
        <w:gridCol w:w="1206"/>
        <w:gridCol w:w="649"/>
        <w:gridCol w:w="649"/>
        <w:gridCol w:w="649"/>
        <w:gridCol w:w="659"/>
      </w:tblGrid>
      <w:tr w:rsidR="00441983" w:rsidRPr="00441983" w:rsidTr="00441983">
        <w:trPr>
          <w:trHeight w:val="225"/>
        </w:trPr>
        <w:tc>
          <w:tcPr>
            <w:tcW w:w="10980" w:type="dxa"/>
            <w:gridSpan w:val="5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 w:val="24"/>
                <w:szCs w:val="24"/>
              </w:rPr>
              <w:t>920东留春乡</w:t>
            </w:r>
          </w:p>
        </w:tc>
        <w:tc>
          <w:tcPr>
            <w:tcW w:w="2955" w:type="dxa"/>
            <w:gridSpan w:val="4"/>
            <w:tcBorders>
              <w:top w:val="single" w:sz="6" w:space="0" w:color="FFFFFF"/>
              <w:left w:val="nil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 w:val="24"/>
                <w:szCs w:val="24"/>
              </w:rPr>
              <w:t>单位：万元</w:t>
            </w: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职责活动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年度预算数</w:t>
            </w:r>
          </w:p>
        </w:tc>
        <w:tc>
          <w:tcPr>
            <w:tcW w:w="297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内容描述</w:t>
            </w:r>
          </w:p>
        </w:tc>
        <w:tc>
          <w:tcPr>
            <w:tcW w:w="297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绩效目标</w:t>
            </w:r>
          </w:p>
        </w:tc>
        <w:tc>
          <w:tcPr>
            <w:tcW w:w="141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绩效指标</w:t>
            </w:r>
          </w:p>
        </w:tc>
        <w:tc>
          <w:tcPr>
            <w:tcW w:w="2955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评价标准</w:t>
            </w:r>
          </w:p>
        </w:tc>
      </w:tr>
      <w:tr w:rsidR="00441983" w:rsidRPr="00441983" w:rsidTr="00441983">
        <w:trPr>
          <w:trHeight w:val="22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441983" w:rsidRPr="00441983" w:rsidRDefault="00441983" w:rsidP="004419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441983" w:rsidRPr="00441983" w:rsidRDefault="00441983" w:rsidP="004419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441983" w:rsidRPr="00441983" w:rsidRDefault="00441983" w:rsidP="004419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441983" w:rsidRPr="00441983" w:rsidRDefault="00441983" w:rsidP="004419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441983" w:rsidRPr="00441983" w:rsidRDefault="00441983" w:rsidP="004419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优</w:t>
            </w:r>
          </w:p>
        </w:tc>
        <w:tc>
          <w:tcPr>
            <w:tcW w:w="7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良</w:t>
            </w:r>
          </w:p>
        </w:tc>
        <w:tc>
          <w:tcPr>
            <w:tcW w:w="7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中</w:t>
            </w:r>
          </w:p>
        </w:tc>
        <w:tc>
          <w:tcPr>
            <w:tcW w:w="7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差</w:t>
            </w: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党政办公室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42.00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负责党委、政府的日常事务，党政各项决定的监督落实，重要文件、讲话稿的起草、审核把关工作；机构编制人员的日常管理工作；党建工作，抓好党员队伍的思想、组织、作风建设；日常文书处理、档案和印鉴管理、机要通信和保密、收发等工作；群众来信来访工作；开展综合调研，收集处理信息，及时向领导反映动态；统计工作；机关值班、保卫、后勤保障和其他日常事务管理工作；办理党政领导交办</w:t>
            </w: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lastRenderedPageBreak/>
              <w:t>的其他事宜。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lastRenderedPageBreak/>
              <w:t>确保工作及时、高效、高质量的完成，保证党政办公室正常运行。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42.00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协调各部门完成工作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高效、高质量完成工作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财经办公室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负责农村合作社经济管理；制定镇财政发展总体规划和财政工作规章制度；制定镇财政年度收支预算和决算，监督检查预算执行和经费使用情况，严格控制财政支出，确保财政收支平衡；帮助指导和监督本镇经济组织和村的财务管理工作；承办镇党委、政府交办的其他事项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确保绩效预算的制定及执行、预决算的及时公开；确保日常财务收支平衡；三资代理的监督落实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政策及财务制度的日常学习，严格执行年初预算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按领导要求完成时限办结率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零失误率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社会事务办公室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负责民政管理，残疾人事务，发展社会福利，做好社会保障工作；管理和发展文化、教育、科学、技术、广播、体育、卫生等事业；承办</w:t>
            </w: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lastRenderedPageBreak/>
              <w:t>镇党委、政府交办的其他事项。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lastRenderedPageBreak/>
              <w:t>确保民政、社会事业良好运行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确保民政、社会事业良好运行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效率高、无差错率、领导满意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城建办公室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贯彻执行党和国家有关乡村建设的法律、法规和方针政策；指导和监督管理各村街建设规划；依法实施土地管理；依法管理水利事业，加强水利建设；管理和指导全镇相间道路建设；加强环境综合治理，合理利用自然资源，保护改善生态环境和生活环境；承办镇党委和政府交办的其他事项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确保城建工作有序进行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确保城建工作有序进行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效率高、无差错率、领导满意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计划生育办公室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贯彻执行国家和地方计划生育的法规、条例和方针政策，落实我市有关人口、计划生育工作</w:t>
            </w: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lastRenderedPageBreak/>
              <w:t>的规章制度和办法；对各村街计划生育工作进行指导、管理和考核；负责计划生育宣传工作，受理有关计划生育的来信来访；承办计划生育领导小组的日常工作；领导镇计划生育服务中心的工作；承办镇党委、政府交办的其他事项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lastRenderedPageBreak/>
              <w:t>确保计生工作有序进行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确保计生工作有序进行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效率高、无差错率、领导满意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农业综合服务中心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承担全镇农业技术推广任务；全镇农业机械管理工作；负责有关水利的法律、法规、条例和政策的宣传工作；为农田水利建设提供技术服务；推广节水用水技术；按有关规定准确掌握水利、水情动态，及时反馈上报；指导植树造林和其他林业生产活动；</w:t>
            </w: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lastRenderedPageBreak/>
              <w:t>为发展林果业提供技术服务；负责畜牧业新品种、新技术的引进、试验示范、推广及畜禽防疫治病、技术推广及普及培训；承担镇党委和政府交办的其他事项。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lastRenderedPageBreak/>
              <w:t>确保农业生产推广工作有序进行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确保农业生产推广工作有序进行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服务对象满意程度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满意率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计划生育综合服务中心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宣传计划生育政策、法规及人口与计划生育基础知识；开展避孕节育技术服务和避孕药具发放工作；负责各村计划生育兼职人员的培训工作；检查指导各村计划生育工作；承办镇党委、政府交办的其他事项。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确保计生具体工作落实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确保计生具体工作落实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计生具体工作落实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免费计划生育基本服务项目覆盖率，药具发放覆</w:t>
            </w: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lastRenderedPageBreak/>
              <w:t>盖率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lastRenderedPageBreak/>
              <w:t>文化广播综合服务中心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对镇群众进行爱国主义、集体主义和社会主义宣传教育；组织开展丰富多彩的群众性文艺、体育活动；辅导和培训群众文艺骨干；做好文物宣传保护工作；致富信息宣传工作；对镇文化市场进行监督、检查与管理；广播服务工作；承担镇领导交办的其他任务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确保文化广播具体工作的落实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确保文化广播具体工作的落实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文化广播具体工作的落实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服务对象满意率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</w:tbl>
    <w:p w:rsidR="00441983" w:rsidRPr="00441983" w:rsidRDefault="00441983" w:rsidP="00441983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br w:type="page"/>
      </w:r>
    </w:p>
    <w:p w:rsidR="00441983" w:rsidRPr="00441983" w:rsidRDefault="00441983" w:rsidP="00441983">
      <w:pPr>
        <w:widowControl/>
        <w:spacing w:line="300" w:lineRule="atLeast"/>
        <w:ind w:left="15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lastRenderedPageBreak/>
        <w:t> </w:t>
      </w:r>
    </w:p>
    <w:p w:rsidR="00441983" w:rsidRPr="00441983" w:rsidRDefault="00441983" w:rsidP="00441983">
      <w:pPr>
        <w:widowControl/>
        <w:spacing w:after="240" w:line="300" w:lineRule="atLeast"/>
        <w:ind w:firstLine="63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6"/>
          <w:szCs w:val="36"/>
        </w:rPr>
        <w:t>六、政府采购预算情况</w:t>
      </w:r>
    </w:p>
    <w:p w:rsidR="00441983" w:rsidRPr="00441983" w:rsidRDefault="00441983" w:rsidP="00441983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  <w:shd w:val="clear" w:color="auto" w:fill="FFFFFF"/>
        </w:rPr>
        <w:t>车辆设备维修和保养服务采购数量2辆车，每辆车0.45万元，共计0.9万元；车辆保险服务采购数量2辆车，每辆车0.45万元，共计0.9万元。合计共1.80万元。</w:t>
      </w:r>
    </w:p>
    <w:p w:rsidR="00441983" w:rsidRPr="00441983" w:rsidRDefault="00441983" w:rsidP="00441983">
      <w:pPr>
        <w:widowControl/>
        <w:spacing w:after="240" w:line="300" w:lineRule="atLeast"/>
        <w:ind w:firstLine="720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  <w:shd w:val="clear" w:color="auto" w:fill="FFFFFF"/>
        </w:rPr>
        <w:t> </w:t>
      </w:r>
    </w:p>
    <w:p w:rsidR="00441983" w:rsidRPr="00441983" w:rsidRDefault="00441983" w:rsidP="00441983">
      <w:pPr>
        <w:widowControl/>
        <w:spacing w:after="240" w:line="300" w:lineRule="atLeast"/>
        <w:ind w:firstLine="810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6"/>
          <w:szCs w:val="36"/>
        </w:rPr>
        <w:t>七、国有资产信息</w:t>
      </w:r>
    </w:p>
    <w:p w:rsidR="00441983" w:rsidRPr="00441983" w:rsidRDefault="00441983" w:rsidP="00441983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 </w:t>
      </w: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我单位上年末国有资产总额332.67万元，其中，流动资产146.14万元，固定资产186.53万元构成。其中固定资产中，房屋建筑物面积3129.10平方米，价值127.78万元；汽车2辆，价值23.04万元，其他固定资产35.71万元。我单位本年度未安排经费用于国有资产购置。</w:t>
      </w:r>
    </w:p>
    <w:p w:rsidR="00441983" w:rsidRPr="00441983" w:rsidRDefault="00441983" w:rsidP="00441983">
      <w:pPr>
        <w:widowControl/>
        <w:spacing w:after="240" w:line="300" w:lineRule="atLeast"/>
        <w:ind w:firstLine="72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6"/>
          <w:szCs w:val="36"/>
        </w:rPr>
        <w:t>八、名词解释</w:t>
      </w:r>
    </w:p>
    <w:p w:rsidR="00441983" w:rsidRPr="00441983" w:rsidRDefault="00441983" w:rsidP="00441983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我单位部门预算中“三公经费”指因公出国（境）费、公务用车购置及运行费和公务接待费。</w:t>
      </w:r>
    </w:p>
    <w:p w:rsidR="00441983" w:rsidRPr="00441983" w:rsidRDefault="00441983" w:rsidP="00441983">
      <w:pPr>
        <w:widowControl/>
        <w:spacing w:after="240" w:line="300" w:lineRule="atLeast"/>
        <w:ind w:firstLine="72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6"/>
          <w:szCs w:val="36"/>
        </w:rPr>
        <w:lastRenderedPageBreak/>
        <w:t>九、其他需说明的事项</w:t>
      </w:r>
    </w:p>
    <w:p w:rsidR="00441983" w:rsidRPr="00441983" w:rsidRDefault="00441983" w:rsidP="00441983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我单位没有政府性基金预算和国有资本经营预算。</w:t>
      </w:r>
    </w:p>
    <w:p w:rsidR="00921BD1" w:rsidRPr="00441983" w:rsidRDefault="00921BD1"/>
    <w:sectPr w:rsidR="00921BD1" w:rsidRPr="00441983" w:rsidSect="004419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BD1" w:rsidRDefault="00921BD1" w:rsidP="00441983">
      <w:r>
        <w:separator/>
      </w:r>
    </w:p>
  </w:endnote>
  <w:endnote w:type="continuationSeparator" w:id="1">
    <w:p w:rsidR="00921BD1" w:rsidRDefault="00921BD1" w:rsidP="00441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书宋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BD1" w:rsidRDefault="00921BD1" w:rsidP="00441983">
      <w:r>
        <w:separator/>
      </w:r>
    </w:p>
  </w:footnote>
  <w:footnote w:type="continuationSeparator" w:id="1">
    <w:p w:rsidR="00921BD1" w:rsidRDefault="00921BD1" w:rsidP="004419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983"/>
    <w:rsid w:val="00441983"/>
    <w:rsid w:val="00921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19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1983"/>
    <w:rPr>
      <w:sz w:val="18"/>
      <w:szCs w:val="18"/>
    </w:rPr>
  </w:style>
  <w:style w:type="paragraph" w:styleId="a5">
    <w:name w:val="Normal (Web)"/>
    <w:basedOn w:val="a"/>
    <w:uiPriority w:val="99"/>
    <w:unhideWhenUsed/>
    <w:rsid w:val="004419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41983"/>
    <w:rPr>
      <w:b/>
      <w:bCs/>
    </w:rPr>
  </w:style>
  <w:style w:type="character" w:customStyle="1" w:styleId="apple-converted-space">
    <w:name w:val="apple-converted-space"/>
    <w:basedOn w:val="a0"/>
    <w:rsid w:val="004419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2017-06-07T02:10:00Z</dcterms:created>
  <dcterms:modified xsi:type="dcterms:W3CDTF">2017-06-07T02:10:00Z</dcterms:modified>
</cp:coreProperties>
</file>