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5883" w:rsidRPr="00035883" w:rsidRDefault="00035883" w:rsidP="00035883">
      <w:pPr>
        <w:widowControl/>
        <w:spacing w:after="240" w:line="300" w:lineRule="atLeast"/>
        <w:jc w:val="center"/>
        <w:rPr>
          <w:rFonts w:ascii="微软雅黑" w:eastAsia="微软雅黑" w:hAnsi="微软雅黑" w:cs="宋体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b/>
          <w:bCs/>
          <w:color w:val="2C3E50"/>
          <w:kern w:val="0"/>
          <w:sz w:val="44"/>
        </w:rPr>
        <w:t>2017年定州市人民法院</w:t>
      </w:r>
    </w:p>
    <w:p w:rsidR="00035883" w:rsidRPr="00035883" w:rsidRDefault="00035883" w:rsidP="00035883">
      <w:pPr>
        <w:widowControl/>
        <w:spacing w:after="240" w:line="300" w:lineRule="atLeast"/>
        <w:jc w:val="center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b/>
          <w:bCs/>
          <w:color w:val="2C3E50"/>
          <w:kern w:val="0"/>
          <w:sz w:val="44"/>
        </w:rPr>
        <w:t>预算公开有关事项的说明</w:t>
      </w:r>
    </w:p>
    <w:p w:rsidR="00035883" w:rsidRPr="00035883" w:rsidRDefault="00035883" w:rsidP="00035883">
      <w:pPr>
        <w:widowControl/>
        <w:spacing w:after="240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Calibri" w:eastAsia="微软雅黑" w:hAnsi="Calibri" w:cs="宋体"/>
          <w:color w:val="2C3E50"/>
          <w:kern w:val="0"/>
          <w:sz w:val="18"/>
          <w:szCs w:val="18"/>
        </w:rPr>
        <w:t> 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一、定州市人民法院职责、机构设置等基本情况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ind w:firstLine="645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1、部门职责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ind w:firstLine="645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定州市人民法院是国家审判机关，依法独立行使审判权，对市人民代表大会及其常务委员会负责并报告工作。主要职责是：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（一） 依法审判法律规定由基层人民法院管辖的刑事、民事、行政等第一审案件。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（二） 依法受理不服本院生效裁判的各类申诉，对其中确有错误的进行再审。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（三） 依法审理上级法院指定管辖、指令再审的各类案件。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lastRenderedPageBreak/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（四） 依法审判由人民检察院按照审判监督程序提出的抗诉案件。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300" w:lineRule="atLeast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（五） 依法行使司法执行权和司法决定权。</w:t>
      </w: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  <w:shd w:val="clear" w:color="auto" w:fill="FFFFFF"/>
        </w:rPr>
        <w:t>执行本院已经发生法律效力的判决、裁定和调解，市国家行政机关申请执行的非诉行政案件，外地法院委托执行的案件；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（六） 依法决定国家赔偿。</w:t>
      </w:r>
    </w:p>
    <w:p w:rsidR="00035883" w:rsidRPr="00035883" w:rsidRDefault="00035883" w:rsidP="00035883">
      <w:pPr>
        <w:widowControl/>
        <w:shd w:val="clear" w:color="auto" w:fill="FFFFFF"/>
        <w:spacing w:before="100" w:beforeAutospacing="1" w:after="100" w:afterAutospacing="1" w:line="495" w:lineRule="atLeast"/>
        <w:jc w:val="left"/>
        <w:textAlignment w:val="baseline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  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（七） 在审判工作中宣传法制，教育公民自觉遵守宪法和法律。</w:t>
      </w:r>
    </w:p>
    <w:p w:rsidR="00035883" w:rsidRPr="00035883" w:rsidRDefault="00035883" w:rsidP="00035883">
      <w:pPr>
        <w:widowControl/>
        <w:spacing w:after="240" w:line="270" w:lineRule="atLeast"/>
        <w:ind w:firstLine="67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</w:rPr>
        <w:t>（八）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</w:rPr>
        <w:t> </w:t>
      </w:r>
      <w:r w:rsidRPr="00035883">
        <w:rPr>
          <w:rFonts w:ascii="宋体" w:eastAsia="宋体" w:hAnsi="宋体" w:cs="宋体" w:hint="eastAsia"/>
          <w:color w:val="000000"/>
          <w:kern w:val="0"/>
          <w:sz w:val="32"/>
          <w:szCs w:val="32"/>
          <w:shd w:val="clear" w:color="auto" w:fill="FFFFFF"/>
        </w:rPr>
        <w:t>承办其他应由本院负责的工作。</w:t>
      </w:r>
    </w:p>
    <w:p w:rsidR="00035883" w:rsidRPr="00035883" w:rsidRDefault="00035883" w:rsidP="00035883">
      <w:pPr>
        <w:widowControl/>
        <w:spacing w:after="240" w:line="2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2、定州市人民法院机构设置</w:t>
      </w:r>
    </w:p>
    <w:p w:rsidR="00035883" w:rsidRPr="00035883" w:rsidRDefault="00035883" w:rsidP="00035883">
      <w:pPr>
        <w:widowControl/>
        <w:spacing w:after="240" w:line="27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F2F2F"/>
          <w:kern w:val="0"/>
          <w:sz w:val="32"/>
          <w:szCs w:val="32"/>
        </w:rPr>
        <w:t>法院现设有机关党委、纪检组、监察室、政治处、办公室、诉前调解中心、司法技术鉴定室、调研室、立案一庭、立案二庭、刑事审判第一庭、刑事审判第二庭、民事审判第一庭、民事审判第二庭、民事审判第三庭、环境资源保护审判庭、行政审判庭、审判监督第一庭、审判监督第二庭、执行局、</w:t>
      </w:r>
      <w:r w:rsidRPr="00035883">
        <w:rPr>
          <w:rFonts w:ascii="宋体" w:eastAsia="宋体" w:hAnsi="宋体" w:cs="宋体" w:hint="eastAsia"/>
          <w:color w:val="2F2F2F"/>
          <w:kern w:val="0"/>
          <w:sz w:val="32"/>
          <w:szCs w:val="32"/>
        </w:rPr>
        <w:lastRenderedPageBreak/>
        <w:t>执行一庭、执行二庭、司法警察大队、北城人民法庭、西城人民法庭、清风店人民法庭、堡自町人民法庭、东亭人民法庭、邢邑人民法庭、明月店人民法庭、李亲顾人民法庭、砖路人民法庭、子位人民法庭、叮咛店人民法庭、大辛庄人民法庭、周村人民法庭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二、部门预算安排总体情况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我部门本年收入2990.72万元，其中：非限额补助2389.51万元，行政事业性收费139.96万元，中央财政转移支付311.25万元，其他150万元。安排支出2990.72万元 ，其中：基本支出2315.03万元，包括人员经费2113.31万元，日常公用经费201.72万元；项目支出675.69万元。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三、机关运行经费安排情况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部门安排机关运行经费201.72万元，其中：办公费6.65万元、邮电费13.3万元、差旅费8.32万元、办公用房水电费15.39万元、办公用房取暖费15.40万元、公务用车运行维护费及其他费用43.2万元、福利费12.65万元、工会经费9.11万元，其他交通费77.7万元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四、“三公”经费安排情况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因公出国（境）费安排0万元。公务用车购置及运行费43.2万元，其中：公务用车购置费0万元、公务用车运行费43.2万元。公务接待费0万元。与上年预算相比持平，主要原因为：在案件数量数量逐年加大的情况下，我院通过规范车辆管理制度， 提高车辆的使用效率的措施，争取控制公车运行维护费用。继续严格实行零招待制度。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五、绩效预算信息情况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1、总体绩效目标</w:t>
      </w:r>
    </w:p>
    <w:p w:rsidR="00035883" w:rsidRPr="00035883" w:rsidRDefault="00035883" w:rsidP="000358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（1）法院队伍整体素质进一步增强，法院队伍思想政治水平和职业道德素养不断提高，社会主义法治理念更加巩固，司法能力特别是认识和把握大局、化解社会矛盾，促进社会和谐的能力显著增强，法院人才队伍结构更加优化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（2）法院工作科学化水平进一步提升。工作方针全面贯彻落实，为审判服务的理念牢固确立，各项工作扎实有序推进，管理更加科学规范，工作机制更加完善，工作质量有新的提高。</w:t>
      </w:r>
    </w:p>
    <w:p w:rsidR="00035883" w:rsidRPr="00035883" w:rsidRDefault="00035883" w:rsidP="00035883">
      <w:pPr>
        <w:widowControl/>
        <w:spacing w:after="240" w:line="300" w:lineRule="atLeast"/>
        <w:ind w:firstLine="55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（3）基础建设进一步完善。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2、部门职责及工作活动绩效目标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 </w:t>
      </w:r>
    </w:p>
    <w:tbl>
      <w:tblPr>
        <w:tblW w:w="11340" w:type="dxa"/>
        <w:tblCellMar>
          <w:left w:w="0" w:type="dxa"/>
          <w:right w:w="0" w:type="dxa"/>
        </w:tblCellMar>
        <w:tblLook w:val="04A0"/>
      </w:tblPr>
      <w:tblGrid>
        <w:gridCol w:w="1271"/>
        <w:gridCol w:w="930"/>
        <w:gridCol w:w="2309"/>
        <w:gridCol w:w="2821"/>
        <w:gridCol w:w="738"/>
        <w:gridCol w:w="1175"/>
        <w:gridCol w:w="722"/>
        <w:gridCol w:w="687"/>
        <w:gridCol w:w="687"/>
      </w:tblGrid>
      <w:tr w:rsidR="00035883" w:rsidRPr="00035883" w:rsidTr="00035883">
        <w:trPr>
          <w:trHeight w:val="225"/>
          <w:tblHeader/>
        </w:trPr>
        <w:tc>
          <w:tcPr>
            <w:tcW w:w="1605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职责活动</w:t>
            </w:r>
          </w:p>
        </w:tc>
        <w:tc>
          <w:tcPr>
            <w:tcW w:w="75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年度预算数</w:t>
            </w:r>
          </w:p>
        </w:tc>
        <w:tc>
          <w:tcPr>
            <w:tcW w:w="297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内容描述</w:t>
            </w:r>
          </w:p>
        </w:tc>
        <w:tc>
          <w:tcPr>
            <w:tcW w:w="3690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绩效目标</w:t>
            </w:r>
          </w:p>
        </w:tc>
        <w:tc>
          <w:tcPr>
            <w:tcW w:w="855" w:type="dxa"/>
            <w:vMerge w:val="restart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绩效指标</w:t>
            </w:r>
          </w:p>
        </w:tc>
        <w:tc>
          <w:tcPr>
            <w:tcW w:w="3675" w:type="dxa"/>
            <w:gridSpan w:val="4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评价标准</w:t>
            </w:r>
          </w:p>
        </w:tc>
      </w:tr>
      <w:tr w:rsidR="00035883" w:rsidRPr="00035883" w:rsidTr="00035883">
        <w:trPr>
          <w:trHeight w:val="225"/>
          <w:tblHeader/>
        </w:trPr>
        <w:tc>
          <w:tcPr>
            <w:tcW w:w="0" w:type="auto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优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良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中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差</w:t>
            </w: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案件审判管理和执行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352.00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依法审判法律规定由县级人民法院管辖的刑事、民事、行政等一审案件，依法办理发生法律效力判决、其他法律文书的执行，做好审判管理工作。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妥善审理经济转型过程中引发的各类矛盾纠纷，依法维护国家安全和社会稳定，严惩各类严重刑事犯罪，积极推进平安XX建设，营造良好的法治环境。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rPr>
          <w:trHeight w:val="1890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案件审判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352.00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依法审判一审刑事、民事、行政案件。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依法惩治刑事犯罪，监督行政机关依法行政，促进社会和谐，维护社会稳定，服务全县工作大局，发挥服务保障职能。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产出指标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案件判决数占审判案件总数的比例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≥85%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≥80%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≥75%</w:t>
            </w: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案件审判管理和执行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25.00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依法审判法律规定由县级人民法院管辖的刑事、民事、行政等一审案件，依法办理发生法律效力判决、其他法律文书的执行，做好审判管理工作。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妥善审理经济转型过程中引发的各类矛盾纠纷，依法维护国家安全和社会稳定，严惩各类严重刑事犯罪，积极推进平安XX建设，营造良好的法治环境。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案件审判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25.00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依法审判一审刑事、民事、行政案件。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依法惩治刑事犯罪，监督行政机关依法行政，促进社会和谐，维护社会稳定，服务全县工作大局，发挥服务保障职能。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产出指标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全部案件的审理天数与结案总数的比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≤50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≤55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≤60</w:t>
            </w: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法院事务</w:t>
            </w: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管理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197.75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系统综合业务管理</w:t>
            </w: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和综合事务管理。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提高队伍素质和执法能</w:t>
            </w: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力，高质高效完成各项工作。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综合业务管理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197.75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加强法院系统队伍建设，加强法院基础设施及信息化建设，加强培训及法院文化建设；总结人民法院审判业务工作经验，建立绩效考核制度，加强对外宣传以及舆论引导，树立法院良好形象。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不断提高队伍素质和执法能力，推进信息公开，提升审判质效，改进司法工作作风，树立法院良好形象。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产出指标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综合业务管理工作完成情况占综合业务管理工作任务的比例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≥95%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≥90%</w:t>
            </w: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法院事务管理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100.94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系统综合业务管理和综合事务管理。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提高队伍素质和执法能力，高质高效完成各项工作。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rPr>
          <w:trHeight w:val="225"/>
        </w:trPr>
        <w:tc>
          <w:tcPr>
            <w:tcW w:w="160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综合事务管理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100.94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领导全县人民法庭的监察工作；管理全县法庭司法行政工作；承办其它应由县级人民法院负责的</w:t>
            </w: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工作。</w:t>
            </w:r>
          </w:p>
        </w:tc>
        <w:tc>
          <w:tcPr>
            <w:tcW w:w="36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高质高效完成年度各项工作。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产出指标</w:t>
            </w:r>
          </w:p>
        </w:tc>
        <w:tc>
          <w:tcPr>
            <w:tcW w:w="147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各项后勤保障工作完成情况占各项后勤保障工</w:t>
            </w: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作任务的比例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lastRenderedPageBreak/>
              <w:t>100%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≥95%</w:t>
            </w:r>
          </w:p>
        </w:tc>
        <w:tc>
          <w:tcPr>
            <w:tcW w:w="73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≥90%</w:t>
            </w:r>
          </w:p>
        </w:tc>
      </w:tr>
    </w:tbl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 </w:t>
      </w:r>
    </w:p>
    <w:p w:rsidR="00035883" w:rsidRPr="00035883" w:rsidRDefault="00035883" w:rsidP="00035883">
      <w:pPr>
        <w:widowControl/>
        <w:spacing w:after="240" w:line="300" w:lineRule="atLeast"/>
        <w:ind w:firstLine="630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六、政府采购预算情况</w:t>
      </w:r>
    </w:p>
    <w:tbl>
      <w:tblPr>
        <w:tblW w:w="11340" w:type="dxa"/>
        <w:tblCellMar>
          <w:left w:w="0" w:type="dxa"/>
          <w:right w:w="0" w:type="dxa"/>
        </w:tblCellMar>
        <w:tblLook w:val="04A0"/>
      </w:tblPr>
      <w:tblGrid>
        <w:gridCol w:w="1137"/>
        <w:gridCol w:w="954"/>
        <w:gridCol w:w="531"/>
        <w:gridCol w:w="1290"/>
        <w:gridCol w:w="1054"/>
        <w:gridCol w:w="451"/>
        <w:gridCol w:w="776"/>
        <w:gridCol w:w="830"/>
        <w:gridCol w:w="830"/>
        <w:gridCol w:w="815"/>
        <w:gridCol w:w="658"/>
        <w:gridCol w:w="658"/>
        <w:gridCol w:w="750"/>
        <w:gridCol w:w="606"/>
      </w:tblGrid>
      <w:tr w:rsidR="00035883" w:rsidRPr="00035883" w:rsidTr="00035883">
        <w:tc>
          <w:tcPr>
            <w:tcW w:w="7155" w:type="dxa"/>
            <w:gridSpan w:val="7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人民法院</w:t>
            </w:r>
          </w:p>
        </w:tc>
        <w:tc>
          <w:tcPr>
            <w:tcW w:w="6525" w:type="dxa"/>
            <w:gridSpan w:val="7"/>
            <w:tcBorders>
              <w:top w:val="single" w:sz="6" w:space="0" w:color="000000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单位：万元</w:t>
            </w:r>
          </w:p>
        </w:tc>
      </w:tr>
      <w:tr w:rsidR="00035883" w:rsidRPr="00035883" w:rsidTr="00035883">
        <w:tc>
          <w:tcPr>
            <w:tcW w:w="3225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政府采购项目来源</w:t>
            </w:r>
          </w:p>
        </w:tc>
        <w:tc>
          <w:tcPr>
            <w:tcW w:w="66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采购物品名称</w:t>
            </w:r>
          </w:p>
        </w:tc>
        <w:tc>
          <w:tcPr>
            <w:tcW w:w="12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政府采购目录序号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数量  单位</w:t>
            </w:r>
          </w:p>
        </w:tc>
        <w:tc>
          <w:tcPr>
            <w:tcW w:w="37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数量</w:t>
            </w:r>
          </w:p>
        </w:tc>
        <w:tc>
          <w:tcPr>
            <w:tcW w:w="70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单价</w:t>
            </w:r>
          </w:p>
        </w:tc>
        <w:tc>
          <w:tcPr>
            <w:tcW w:w="6525" w:type="dxa"/>
            <w:gridSpan w:val="7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政府采购金额</w:t>
            </w:r>
          </w:p>
        </w:tc>
      </w:tr>
      <w:tr w:rsidR="00035883" w:rsidRPr="00035883" w:rsidTr="00035883">
        <w:tc>
          <w:tcPr>
            <w:tcW w:w="2235" w:type="dxa"/>
            <w:vMerge w:val="restar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项目名称</w:t>
            </w:r>
          </w:p>
        </w:tc>
        <w:tc>
          <w:tcPr>
            <w:tcW w:w="990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预算资金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总计</w:t>
            </w:r>
          </w:p>
        </w:tc>
        <w:tc>
          <w:tcPr>
            <w:tcW w:w="4815" w:type="dxa"/>
            <w:gridSpan w:val="5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当年部门预算安排资金</w:t>
            </w:r>
          </w:p>
        </w:tc>
        <w:tc>
          <w:tcPr>
            <w:tcW w:w="855" w:type="dxa"/>
            <w:vMerge w:val="restart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其他渠道资金</w:t>
            </w:r>
          </w:p>
        </w:tc>
      </w:tr>
      <w:tr w:rsidR="00035883" w:rsidRPr="00035883" w:rsidTr="00035883">
        <w:tc>
          <w:tcPr>
            <w:tcW w:w="0" w:type="auto"/>
            <w:vMerge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合计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一般公共预算拨款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基金预算拨款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财政专户核拨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其他来源收入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vAlign w:val="center"/>
            <w:hideMark/>
          </w:tcPr>
          <w:p w:rsidR="00035883" w:rsidRPr="00035883" w:rsidRDefault="00035883" w:rsidP="00035883">
            <w:pPr>
              <w:widowControl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center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lastRenderedPageBreak/>
              <w:t>定州市人民法院小计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56.74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56.74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b/>
                <w:bCs/>
                <w:color w:val="2C3E50"/>
                <w:kern w:val="0"/>
                <w:sz w:val="24"/>
                <w:szCs w:val="24"/>
              </w:rPr>
              <w:t>56.74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日常公用经费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201.72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轿车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A02030501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0.50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39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39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39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  <w:tr w:rsidR="00035883" w:rsidRPr="00035883" w:rsidTr="00035883">
        <w:tc>
          <w:tcPr>
            <w:tcW w:w="2235" w:type="dxa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日常公用经费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201.72</w:t>
            </w:r>
          </w:p>
        </w:tc>
        <w:tc>
          <w:tcPr>
            <w:tcW w:w="66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轿车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A02030501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22</w:t>
            </w:r>
          </w:p>
        </w:tc>
        <w:tc>
          <w:tcPr>
            <w:tcW w:w="70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0.40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8.74</w:t>
            </w: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8.74</w:t>
            </w:r>
          </w:p>
        </w:tc>
        <w:tc>
          <w:tcPr>
            <w:tcW w:w="75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after="240" w:line="300" w:lineRule="atLeast"/>
              <w:jc w:val="righ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  <w:r w:rsidRPr="00035883">
              <w:rPr>
                <w:rFonts w:ascii="宋体" w:eastAsia="宋体" w:hAnsi="宋体" w:cs="宋体" w:hint="eastAsia"/>
                <w:color w:val="2C3E50"/>
                <w:kern w:val="0"/>
                <w:sz w:val="24"/>
                <w:szCs w:val="24"/>
              </w:rPr>
              <w:t>8.74</w:t>
            </w: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990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  <w:tc>
          <w:tcPr>
            <w:tcW w:w="85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035883" w:rsidRPr="00035883" w:rsidRDefault="00035883" w:rsidP="00035883">
            <w:pPr>
              <w:widowControl/>
              <w:spacing w:line="300" w:lineRule="atLeast"/>
              <w:jc w:val="left"/>
              <w:rPr>
                <w:rFonts w:ascii="微软雅黑" w:eastAsia="微软雅黑" w:hAnsi="微软雅黑" w:cs="宋体"/>
                <w:color w:val="2C3E50"/>
                <w:kern w:val="0"/>
                <w:sz w:val="18"/>
                <w:szCs w:val="18"/>
              </w:rPr>
            </w:pPr>
          </w:p>
        </w:tc>
      </w:tr>
    </w:tbl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七、国有资产信息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我院上年末国有资产5161.38万元，包括流动资产2477.06万元、固定资产2684.32万元构成。其中：固定资产中房屋1151.42万元；汽车13辆，价值144.21万元；其他固定资产价值1388.69万元。本年度拟购置办公设备，改善办公条件，提高数字化水平，增加数字化法庭数量，促进办案效率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八、名词解释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“三公经费”指因公出国（境）费、公务用车购置及运行费和公务接待费。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lastRenderedPageBreak/>
        <w:t>九、其他需说明的事项</w:t>
      </w:r>
    </w:p>
    <w:p w:rsidR="00035883" w:rsidRPr="00035883" w:rsidRDefault="00035883" w:rsidP="00035883">
      <w:pPr>
        <w:widowControl/>
        <w:spacing w:after="240" w:line="300" w:lineRule="atLeast"/>
        <w:ind w:firstLine="645"/>
        <w:jc w:val="left"/>
        <w:rPr>
          <w:rFonts w:ascii="微软雅黑" w:eastAsia="微软雅黑" w:hAnsi="微软雅黑" w:cs="宋体" w:hint="eastAsia"/>
          <w:color w:val="2C3E50"/>
          <w:kern w:val="0"/>
          <w:sz w:val="18"/>
          <w:szCs w:val="18"/>
        </w:rPr>
      </w:pPr>
      <w:r w:rsidRPr="00035883">
        <w:rPr>
          <w:rFonts w:ascii="宋体" w:eastAsia="宋体" w:hAnsi="宋体" w:cs="宋体" w:hint="eastAsia"/>
          <w:color w:val="2C3E50"/>
          <w:kern w:val="0"/>
          <w:sz w:val="32"/>
          <w:szCs w:val="32"/>
        </w:rPr>
        <w:t>单位没有政府性基金预算和国有资本经营预算。</w:t>
      </w:r>
    </w:p>
    <w:p w:rsidR="00867AE6" w:rsidRPr="00035883" w:rsidRDefault="00867AE6"/>
    <w:sectPr w:rsidR="00867AE6" w:rsidRPr="00035883" w:rsidSect="000358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67AE6" w:rsidRDefault="00867AE6" w:rsidP="00035883">
      <w:r>
        <w:separator/>
      </w:r>
    </w:p>
  </w:endnote>
  <w:endnote w:type="continuationSeparator" w:id="1">
    <w:p w:rsidR="00867AE6" w:rsidRDefault="00867AE6" w:rsidP="0003588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67AE6" w:rsidRDefault="00867AE6" w:rsidP="00035883">
      <w:r>
        <w:separator/>
      </w:r>
    </w:p>
  </w:footnote>
  <w:footnote w:type="continuationSeparator" w:id="1">
    <w:p w:rsidR="00867AE6" w:rsidRDefault="00867AE6" w:rsidP="0003588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35883"/>
    <w:rsid w:val="00035883"/>
    <w:rsid w:val="00867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8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88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88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883"/>
    <w:rPr>
      <w:sz w:val="18"/>
      <w:szCs w:val="18"/>
    </w:rPr>
  </w:style>
  <w:style w:type="paragraph" w:styleId="a5">
    <w:name w:val="Normal (Web)"/>
    <w:basedOn w:val="a"/>
    <w:uiPriority w:val="99"/>
    <w:unhideWhenUsed/>
    <w:rsid w:val="0003588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035883"/>
    <w:rPr>
      <w:b/>
      <w:bCs/>
    </w:rPr>
  </w:style>
  <w:style w:type="character" w:customStyle="1" w:styleId="apple-converted-space">
    <w:name w:val="apple-converted-space"/>
    <w:basedOn w:val="a0"/>
    <w:rsid w:val="0003588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440</Words>
  <Characters>2511</Characters>
  <Application>Microsoft Office Word</Application>
  <DocSecurity>0</DocSecurity>
  <Lines>20</Lines>
  <Paragraphs>5</Paragraphs>
  <ScaleCrop>false</ScaleCrop>
  <Company/>
  <LinksUpToDate>false</LinksUpToDate>
  <CharactersWithSpaces>2946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2017-06-09T01:04:00Z</dcterms:created>
  <dcterms:modified xsi:type="dcterms:W3CDTF">2017-06-09T01:05:00Z</dcterms:modified>
</cp:coreProperties>
</file>