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jc w:val="center"/>
        <w:rPr>
          <w:rFonts w:ascii="微软雅黑" w:eastAsia="微软雅黑" w:hAnsi="微软雅黑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44"/>
          <w:szCs w:val="44"/>
        </w:rPr>
        <w:t>2016年定州市职介中心预算公开说明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Verdana" w:eastAsia="微软雅黑" w:hAnsi="Verdana"/>
          <w:color w:val="484747"/>
          <w:sz w:val="23"/>
          <w:szCs w:val="23"/>
        </w:rPr>
        <w:t> 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Verdana" w:eastAsia="微软雅黑" w:hAnsi="Verdana"/>
          <w:color w:val="484747"/>
          <w:sz w:val="23"/>
          <w:szCs w:val="23"/>
        </w:rPr>
        <w:t> 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一、本部门职责、机构设置等基本情况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（一）部门职责：</w:t>
      </w:r>
    </w:p>
    <w:p w:rsidR="0042718D" w:rsidRDefault="0042718D" w:rsidP="0042718D">
      <w:pPr>
        <w:pStyle w:val="a5"/>
        <w:spacing w:before="0" w:beforeAutospacing="0" w:after="240" w:afterAutospacing="0" w:line="300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2C3E50"/>
          <w:sz w:val="32"/>
          <w:szCs w:val="32"/>
        </w:rPr>
        <w:t>负责促进就业工作，健全公共就业服务体系和人力资源市场体系，积极促进社会就业。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（二）机构设置等基本情况</w:t>
      </w:r>
    </w:p>
    <w:p w:rsidR="0042718D" w:rsidRDefault="0042718D" w:rsidP="0042718D">
      <w:pPr>
        <w:pStyle w:val="a5"/>
        <w:spacing w:before="0" w:beforeAutospacing="0" w:after="240" w:afterAutospacing="0" w:line="300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单位名称：定州市就业服务局职业介绍服务中心</w:t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   </w:t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单位性质：事业</w:t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   </w:t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经费来源：自收自支</w:t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>   </w:t>
      </w:r>
      <w:r>
        <w:rPr>
          <w:rFonts w:ascii="仿宋_GB2312" w:eastAsia="仿宋_GB2312" w:hAnsi="微软雅黑" w:hint="eastAsia"/>
          <w:color w:val="333333"/>
          <w:sz w:val="32"/>
          <w:szCs w:val="32"/>
          <w:shd w:val="clear" w:color="auto" w:fill="FFFFFF"/>
        </w:rPr>
        <w:t xml:space="preserve"> 部门人员情况：单位事业编制人数12人，截止2016年12月在职人数25人，退休6人。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555" w:lineRule="atLeast"/>
        <w:ind w:firstLine="480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（三）部门决算单位构成：</w:t>
      </w:r>
      <w:r>
        <w:rPr>
          <w:rFonts w:ascii="Verdana" w:eastAsia="微软雅黑" w:hAnsi="Verdana"/>
          <w:color w:val="484747"/>
          <w:sz w:val="32"/>
          <w:szCs w:val="32"/>
        </w:rPr>
        <w:t> </w:t>
      </w:r>
      <w:r>
        <w:rPr>
          <w:rFonts w:ascii="仿宋_GB2312" w:eastAsia="仿宋_GB2312" w:hAnsi="微软雅黑" w:hint="eastAsia"/>
          <w:color w:val="484747"/>
          <w:sz w:val="32"/>
          <w:szCs w:val="32"/>
        </w:rPr>
        <w:t>定州市就业服务局职业介绍服务中心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23"/>
          <w:szCs w:val="23"/>
        </w:rPr>
        <w:t> 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三、收支总体情况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lastRenderedPageBreak/>
        <w:t>我部门本年收入207.5万元，其中：财政拨款207.5</w:t>
      </w:r>
      <w:r>
        <w:rPr>
          <w:rFonts w:ascii="Verdana" w:eastAsia="微软雅黑" w:hAnsi="Verdana"/>
          <w:color w:val="484747"/>
          <w:sz w:val="32"/>
          <w:szCs w:val="32"/>
        </w:rPr>
        <w:t> </w:t>
      </w:r>
      <w:r>
        <w:rPr>
          <w:rFonts w:ascii="仿宋_GB2312" w:eastAsia="仿宋_GB2312" w:hAnsi="微软雅黑" w:hint="eastAsia"/>
          <w:color w:val="484747"/>
          <w:sz w:val="32"/>
          <w:szCs w:val="32"/>
        </w:rPr>
        <w:t>万元；上级补助收入0万元；事业收入0万元；经营收入0万元；附属单位上解收入0万元，其他收入0万元。上年结转0万元。安排支出207.5万元，其中：基本支出197.5万元；项目支出10万元；上缴上级支出0万元；经营支出0万元；对附属单位补助支出0万元。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四、机关运行经费安排情况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我单位没有机关运行费用。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五、“三公”经费安排情况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我单位无三公经费。。</w:t>
      </w:r>
      <w:r>
        <w:rPr>
          <w:rFonts w:ascii="Verdana" w:eastAsia="微软雅黑" w:hAnsi="Verdana"/>
          <w:color w:val="484747"/>
          <w:sz w:val="32"/>
          <w:szCs w:val="32"/>
        </w:rPr>
        <w:t>   </w:t>
      </w:r>
      <w:r>
        <w:rPr>
          <w:rStyle w:val="apple-converted-space"/>
          <w:rFonts w:ascii="微软雅黑" w:eastAsia="微软雅黑" w:hAnsi="微软雅黑" w:hint="eastAsia"/>
          <w:color w:val="2C3E50"/>
        </w:rPr>
        <w:t> </w:t>
      </w:r>
      <w:r>
        <w:rPr>
          <w:rFonts w:ascii="Verdana" w:eastAsia="微软雅黑" w:hAnsi="Verdana"/>
          <w:color w:val="484747"/>
          <w:sz w:val="32"/>
          <w:szCs w:val="32"/>
        </w:rPr>
        <w:t>    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30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六、政府采购预算情况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我单位没有政府采购预算。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七、国有资产信息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555" w:lineRule="atLeast"/>
        <w:ind w:firstLine="720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我单位（含所属单位）国有资产价值为6.34万元。固定资产6.34万元、长期投资0万元、在建工程0万元、无形资产0万元、其他资产0万元构成。其中：固定资产中房屋0平方米，价值0万元。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八、名词解释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Verdana" w:eastAsia="微软雅黑" w:hAnsi="Verdana"/>
          <w:color w:val="484747"/>
          <w:sz w:val="32"/>
          <w:szCs w:val="32"/>
        </w:rPr>
        <w:lastRenderedPageBreak/>
        <w:t> </w:t>
      </w:r>
      <w:r>
        <w:rPr>
          <w:rFonts w:ascii="仿宋_GB2312" w:eastAsia="仿宋_GB2312" w:hAnsi="微软雅黑" w:hint="eastAsia"/>
          <w:color w:val="484747"/>
          <w:sz w:val="32"/>
          <w:szCs w:val="32"/>
        </w:rPr>
        <w:t>三公经费”指因公出国（境）费、公务用车购置及运行费和公务接待费。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九、其他需说明的事项</w:t>
      </w:r>
    </w:p>
    <w:p w:rsidR="0042718D" w:rsidRDefault="0042718D" w:rsidP="0042718D">
      <w:pPr>
        <w:pStyle w:val="a5"/>
        <w:shd w:val="clear" w:color="auto" w:fill="FFFFFF"/>
        <w:spacing w:before="0" w:beforeAutospacing="0" w:after="240" w:afterAutospacing="0" w:line="465" w:lineRule="atLeast"/>
        <w:ind w:firstLine="645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484747"/>
          <w:sz w:val="32"/>
          <w:szCs w:val="32"/>
        </w:rPr>
        <w:t>我单位无政府性基金预算和国有资本经营预算。</w:t>
      </w:r>
    </w:p>
    <w:p w:rsidR="0042718D" w:rsidRDefault="0042718D" w:rsidP="0042718D">
      <w:pPr>
        <w:pStyle w:val="a5"/>
        <w:spacing w:before="0" w:beforeAutospacing="0" w:after="240" w:afterAutospacing="0" w:line="300" w:lineRule="atLeast"/>
        <w:rPr>
          <w:rFonts w:ascii="微软雅黑" w:eastAsia="微软雅黑" w:hAnsi="微软雅黑" w:hint="eastAsia"/>
          <w:color w:val="2C3E50"/>
          <w:sz w:val="18"/>
          <w:szCs w:val="18"/>
        </w:rPr>
      </w:pPr>
      <w:r>
        <w:rPr>
          <w:rFonts w:ascii="仿宋_GB2312" w:eastAsia="仿宋_GB2312" w:hAnsi="微软雅黑" w:hint="eastAsia"/>
          <w:color w:val="2C3E50"/>
          <w:sz w:val="18"/>
          <w:szCs w:val="18"/>
        </w:rPr>
        <w:t> </w:t>
      </w:r>
    </w:p>
    <w:p w:rsidR="00703D8C" w:rsidRPr="0042718D" w:rsidRDefault="00703D8C"/>
    <w:sectPr w:rsidR="00703D8C" w:rsidRPr="00427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D8C" w:rsidRDefault="00703D8C" w:rsidP="0042718D">
      <w:r>
        <w:separator/>
      </w:r>
    </w:p>
  </w:endnote>
  <w:endnote w:type="continuationSeparator" w:id="1">
    <w:p w:rsidR="00703D8C" w:rsidRDefault="00703D8C" w:rsidP="00427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D8C" w:rsidRDefault="00703D8C" w:rsidP="0042718D">
      <w:r>
        <w:separator/>
      </w:r>
    </w:p>
  </w:footnote>
  <w:footnote w:type="continuationSeparator" w:id="1">
    <w:p w:rsidR="00703D8C" w:rsidRDefault="00703D8C" w:rsidP="004271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18D"/>
    <w:rsid w:val="0042718D"/>
    <w:rsid w:val="00703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7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71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7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718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27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71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4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2017-06-09T01:51:00Z</dcterms:created>
  <dcterms:modified xsi:type="dcterms:W3CDTF">2017-06-09T01:51:00Z</dcterms:modified>
</cp:coreProperties>
</file>