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宋体" w:eastAsia="宋体" w:hAnsi="宋体" w:cs="宋体" w:hint="eastAsia"/>
          <w:color w:val="2C3E50"/>
          <w:kern w:val="0"/>
          <w:sz w:val="44"/>
          <w:szCs w:val="44"/>
        </w:rPr>
        <w:t>2017年水利局预算公开说明</w:t>
      </w:r>
    </w:p>
    <w:p w:rsidR="000740F8" w:rsidRPr="000740F8" w:rsidRDefault="000740F8" w:rsidP="000740F8">
      <w:pPr>
        <w:widowControl/>
        <w:spacing w:after="240" w:line="300" w:lineRule="atLeast"/>
        <w:jc w:val="left"/>
        <w:rPr>
          <w:rFonts w:ascii="微软雅黑" w:eastAsia="微软雅黑" w:hAnsi="微软雅黑" w:cs="宋体" w:hint="eastAsia"/>
          <w:color w:val="2C3E50"/>
          <w:kern w:val="0"/>
          <w:sz w:val="18"/>
          <w:szCs w:val="18"/>
        </w:rPr>
      </w:pPr>
      <w:r w:rsidRPr="000740F8">
        <w:rPr>
          <w:rFonts w:ascii="微软雅黑" w:eastAsia="微软雅黑" w:hAnsi="微软雅黑" w:cs="宋体" w:hint="eastAsia"/>
          <w:color w:val="2C3E50"/>
          <w:kern w:val="0"/>
          <w:sz w:val="18"/>
          <w:szCs w:val="18"/>
        </w:rPr>
        <w:t> </w:t>
      </w:r>
    </w:p>
    <w:p w:rsidR="000740F8" w:rsidRPr="000740F8" w:rsidRDefault="000740F8" w:rsidP="000740F8">
      <w:pPr>
        <w:widowControl/>
        <w:spacing w:after="240" w:line="270" w:lineRule="atLeast"/>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一、本部门职责、机构设置等基本情况</w:t>
      </w:r>
    </w:p>
    <w:p w:rsidR="000740F8" w:rsidRPr="000740F8" w:rsidRDefault="000740F8" w:rsidP="000740F8">
      <w:pPr>
        <w:widowControl/>
        <w:spacing w:after="240" w:line="270" w:lineRule="atLeast"/>
        <w:jc w:val="left"/>
        <w:rPr>
          <w:rFonts w:ascii="微软雅黑" w:eastAsia="微软雅黑" w:hAnsi="微软雅黑" w:cs="宋体" w:hint="eastAsia"/>
          <w:color w:val="2C3E50"/>
          <w:kern w:val="0"/>
          <w:sz w:val="18"/>
          <w:szCs w:val="18"/>
        </w:rPr>
      </w:pPr>
      <w:r w:rsidRPr="000740F8">
        <w:rPr>
          <w:rFonts w:ascii="楷体_GB2312" w:eastAsia="楷体_GB2312" w:hAnsi="微软雅黑" w:cs="宋体" w:hint="eastAsia"/>
          <w:color w:val="2C3E50"/>
          <w:kern w:val="0"/>
          <w:sz w:val="32"/>
          <w:szCs w:val="32"/>
        </w:rPr>
        <w:t>（一）部门主要职责：</w:t>
      </w:r>
    </w:p>
    <w:p w:rsidR="000740F8" w:rsidRPr="000740F8" w:rsidRDefault="000740F8" w:rsidP="000740F8">
      <w:pPr>
        <w:widowControl/>
        <w:spacing w:after="240" w:line="270" w:lineRule="atLeast"/>
        <w:ind w:left="780" w:firstLine="645"/>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根据《定州市水利局职能配置、内设机构和人员编制方案》规定，定州市水利局的主要职责是：我局负责制定全市水利工作的方针政策、发展战略，起草有关水事规章制度并监督实施。统一管理全市水资源，拟定全市节约用水政策，拟定水资源保护规划，组织指导水政监察和水行政执法，负责全市水利基建项目、可行性报告的立项申报，组织指导全市水利设施、水域及其岸线的管理与保护，组织协调农田水利基本建设、城乡供水和农村水利社会化服务体系建设。指导全市防汛抗旱指挥部办公室的日常工作。</w:t>
      </w:r>
    </w:p>
    <w:p w:rsidR="000740F8" w:rsidRPr="000740F8" w:rsidRDefault="000740F8" w:rsidP="000740F8">
      <w:pPr>
        <w:widowControl/>
        <w:spacing w:after="240" w:line="555" w:lineRule="atLeast"/>
        <w:jc w:val="left"/>
        <w:rPr>
          <w:rFonts w:ascii="微软雅黑" w:eastAsia="微软雅黑" w:hAnsi="微软雅黑" w:cs="宋体" w:hint="eastAsia"/>
          <w:color w:val="2C3E50"/>
          <w:kern w:val="0"/>
          <w:sz w:val="18"/>
          <w:szCs w:val="18"/>
        </w:rPr>
      </w:pPr>
      <w:r w:rsidRPr="000740F8">
        <w:rPr>
          <w:rFonts w:ascii="楷体_GB2312" w:eastAsia="楷体_GB2312" w:hAnsi="微软雅黑" w:cs="宋体" w:hint="eastAsia"/>
          <w:color w:val="2C3E50"/>
          <w:kern w:val="0"/>
          <w:sz w:val="32"/>
          <w:szCs w:val="32"/>
        </w:rPr>
        <w:t>（二）机构设置：</w:t>
      </w:r>
    </w:p>
    <w:p w:rsidR="000740F8" w:rsidRPr="000740F8" w:rsidRDefault="000740F8" w:rsidP="000740F8">
      <w:pPr>
        <w:widowControl/>
        <w:spacing w:after="240" w:line="555" w:lineRule="atLeast"/>
        <w:ind w:firstLine="645"/>
        <w:jc w:val="left"/>
        <w:rPr>
          <w:rFonts w:ascii="微软雅黑" w:eastAsia="微软雅黑" w:hAnsi="微软雅黑" w:cs="宋体" w:hint="eastAsia"/>
          <w:color w:val="2C3E50"/>
          <w:kern w:val="0"/>
          <w:sz w:val="18"/>
          <w:szCs w:val="18"/>
        </w:rPr>
      </w:pPr>
      <w:r w:rsidRPr="000740F8">
        <w:rPr>
          <w:rFonts w:ascii="楷体_GB2312" w:eastAsia="楷体_GB2312" w:hAnsi="微软雅黑" w:cs="宋体" w:hint="eastAsia"/>
          <w:color w:val="2C3E50"/>
          <w:kern w:val="0"/>
          <w:sz w:val="32"/>
          <w:szCs w:val="32"/>
        </w:rPr>
        <w:lastRenderedPageBreak/>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500"/>
        <w:gridCol w:w="2505"/>
        <w:gridCol w:w="1920"/>
        <w:gridCol w:w="2340"/>
      </w:tblGrid>
      <w:tr w:rsidR="000740F8" w:rsidRPr="000740F8" w:rsidTr="000740F8">
        <w:trPr>
          <w:trHeight w:val="465"/>
        </w:trPr>
        <w:tc>
          <w:tcPr>
            <w:tcW w:w="1500" w:type="dxa"/>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黑体" w:eastAsia="黑体" w:hAnsi="黑体" w:cs="宋体" w:hint="eastAsia"/>
                <w:b/>
                <w:bCs/>
                <w:color w:val="2C3E50"/>
                <w:kern w:val="0"/>
                <w:sz w:val="18"/>
                <w:szCs w:val="18"/>
              </w:rPr>
              <w:t>单位编码</w:t>
            </w:r>
          </w:p>
        </w:tc>
        <w:tc>
          <w:tcPr>
            <w:tcW w:w="2505" w:type="dxa"/>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黑体" w:eastAsia="黑体" w:hAnsi="黑体" w:cs="宋体" w:hint="eastAsia"/>
                <w:b/>
                <w:bCs/>
                <w:color w:val="2C3E50"/>
                <w:kern w:val="0"/>
                <w:sz w:val="18"/>
                <w:szCs w:val="18"/>
              </w:rPr>
              <w:t>单位名称</w:t>
            </w:r>
          </w:p>
        </w:tc>
        <w:tc>
          <w:tcPr>
            <w:tcW w:w="1920" w:type="dxa"/>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黑体" w:eastAsia="黑体" w:hAnsi="黑体" w:cs="宋体" w:hint="eastAsia"/>
                <w:b/>
                <w:bCs/>
                <w:color w:val="2C3E50"/>
                <w:kern w:val="0"/>
                <w:sz w:val="18"/>
                <w:szCs w:val="18"/>
              </w:rPr>
              <w:t>单位性质</w:t>
            </w:r>
          </w:p>
        </w:tc>
        <w:tc>
          <w:tcPr>
            <w:tcW w:w="2340" w:type="dxa"/>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黑体" w:eastAsia="黑体" w:hAnsi="黑体" w:cs="宋体" w:hint="eastAsia"/>
                <w:b/>
                <w:bCs/>
                <w:color w:val="2C3E50"/>
                <w:kern w:val="0"/>
                <w:sz w:val="18"/>
                <w:szCs w:val="18"/>
              </w:rPr>
              <w:t>财政供给政策</w:t>
            </w:r>
          </w:p>
        </w:tc>
      </w:tr>
      <w:tr w:rsidR="000740F8" w:rsidRPr="000740F8" w:rsidTr="000740F8">
        <w:tc>
          <w:tcPr>
            <w:tcW w:w="1500" w:type="dxa"/>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ind w:firstLine="660"/>
              <w:jc w:val="left"/>
              <w:rPr>
                <w:rFonts w:ascii="微软雅黑" w:eastAsia="微软雅黑" w:hAnsi="微软雅黑" w:cs="宋体"/>
                <w:color w:val="2C3E50"/>
                <w:kern w:val="0"/>
                <w:sz w:val="18"/>
                <w:szCs w:val="18"/>
              </w:rPr>
            </w:pPr>
            <w:r w:rsidRPr="000740F8">
              <w:rPr>
                <w:rFonts w:ascii="宋体" w:eastAsia="宋体" w:hAnsi="宋体" w:cs="宋体" w:hint="eastAsia"/>
                <w:color w:val="2C3E50"/>
                <w:kern w:val="0"/>
                <w:sz w:val="18"/>
                <w:szCs w:val="18"/>
              </w:rPr>
              <w:t>332002</w:t>
            </w:r>
          </w:p>
        </w:tc>
        <w:tc>
          <w:tcPr>
            <w:tcW w:w="2505" w:type="dxa"/>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left"/>
              <w:rPr>
                <w:rFonts w:ascii="微软雅黑" w:eastAsia="微软雅黑" w:hAnsi="微软雅黑" w:cs="宋体"/>
                <w:color w:val="2C3E50"/>
                <w:kern w:val="0"/>
                <w:sz w:val="18"/>
                <w:szCs w:val="18"/>
              </w:rPr>
            </w:pPr>
            <w:r w:rsidRPr="000740F8">
              <w:rPr>
                <w:rFonts w:ascii="宋体" w:eastAsia="宋体" w:hAnsi="宋体" w:cs="宋体" w:hint="eastAsia"/>
                <w:color w:val="2C3E50"/>
                <w:kern w:val="0"/>
                <w:sz w:val="24"/>
                <w:szCs w:val="24"/>
              </w:rPr>
              <w:t>定州市水利局</w:t>
            </w:r>
            <w:r w:rsidRPr="000740F8">
              <w:rPr>
                <w:rFonts w:ascii="仿宋_GB2312" w:eastAsia="仿宋_GB2312" w:hAnsi="微软雅黑" w:cs="宋体" w:hint="eastAsia"/>
                <w:color w:val="2C3E50"/>
                <w:kern w:val="0"/>
                <w:sz w:val="24"/>
                <w:szCs w:val="24"/>
              </w:rPr>
              <w:t>(</w:t>
            </w:r>
            <w:r w:rsidRPr="000740F8">
              <w:rPr>
                <w:rFonts w:ascii="宋体" w:eastAsia="宋体" w:hAnsi="宋体" w:cs="宋体" w:hint="eastAsia"/>
                <w:color w:val="2C3E50"/>
                <w:kern w:val="0"/>
                <w:sz w:val="24"/>
                <w:szCs w:val="24"/>
              </w:rPr>
              <w:t>机关</w:t>
            </w:r>
            <w:r w:rsidRPr="000740F8">
              <w:rPr>
                <w:rFonts w:ascii="仿宋_GB2312" w:eastAsia="仿宋_GB2312" w:hAnsi="微软雅黑" w:cs="宋体" w:hint="eastAsia"/>
                <w:color w:val="2C3E50"/>
                <w:kern w:val="0"/>
                <w:sz w:val="24"/>
                <w:szCs w:val="24"/>
              </w:rPr>
              <w:t>)</w:t>
            </w:r>
          </w:p>
        </w:tc>
        <w:tc>
          <w:tcPr>
            <w:tcW w:w="1920" w:type="dxa"/>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ind w:firstLine="660"/>
              <w:jc w:val="center"/>
              <w:rPr>
                <w:rFonts w:ascii="微软雅黑" w:eastAsia="微软雅黑" w:hAnsi="微软雅黑" w:cs="宋体"/>
                <w:color w:val="2C3E50"/>
                <w:kern w:val="0"/>
                <w:sz w:val="18"/>
                <w:szCs w:val="18"/>
              </w:rPr>
            </w:pPr>
            <w:r w:rsidRPr="000740F8">
              <w:rPr>
                <w:rFonts w:ascii="宋体" w:eastAsia="宋体" w:hAnsi="宋体" w:cs="宋体" w:hint="eastAsia"/>
                <w:color w:val="2C3E50"/>
                <w:kern w:val="0"/>
                <w:sz w:val="24"/>
                <w:szCs w:val="24"/>
              </w:rPr>
              <w:t>行政</w:t>
            </w:r>
          </w:p>
        </w:tc>
        <w:tc>
          <w:tcPr>
            <w:tcW w:w="2340" w:type="dxa"/>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ind w:firstLine="660"/>
              <w:jc w:val="left"/>
              <w:rPr>
                <w:rFonts w:ascii="微软雅黑" w:eastAsia="微软雅黑" w:hAnsi="微软雅黑" w:cs="宋体"/>
                <w:color w:val="2C3E50"/>
                <w:kern w:val="0"/>
                <w:sz w:val="18"/>
                <w:szCs w:val="18"/>
              </w:rPr>
            </w:pPr>
            <w:r w:rsidRPr="000740F8">
              <w:rPr>
                <w:rFonts w:ascii="宋体" w:eastAsia="宋体" w:hAnsi="宋体" w:cs="宋体" w:hint="eastAsia"/>
                <w:color w:val="2C3E50"/>
                <w:kern w:val="0"/>
                <w:sz w:val="24"/>
                <w:szCs w:val="24"/>
              </w:rPr>
              <w:t>全额拨款</w:t>
            </w:r>
          </w:p>
        </w:tc>
      </w:tr>
      <w:tr w:rsidR="000740F8" w:rsidRPr="000740F8" w:rsidTr="000740F8">
        <w:tc>
          <w:tcPr>
            <w:tcW w:w="1500" w:type="dxa"/>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ind w:firstLine="660"/>
              <w:jc w:val="left"/>
              <w:rPr>
                <w:rFonts w:ascii="微软雅黑" w:eastAsia="微软雅黑" w:hAnsi="微软雅黑" w:cs="宋体"/>
                <w:color w:val="2C3E50"/>
                <w:kern w:val="0"/>
                <w:sz w:val="18"/>
                <w:szCs w:val="18"/>
              </w:rPr>
            </w:pPr>
            <w:r w:rsidRPr="000740F8">
              <w:rPr>
                <w:rFonts w:ascii="宋体" w:eastAsia="宋体" w:hAnsi="宋体" w:cs="宋体" w:hint="eastAsia"/>
                <w:color w:val="2C3E50"/>
                <w:kern w:val="0"/>
                <w:sz w:val="18"/>
                <w:szCs w:val="18"/>
              </w:rPr>
              <w:t>332003</w:t>
            </w:r>
          </w:p>
        </w:tc>
        <w:tc>
          <w:tcPr>
            <w:tcW w:w="2505" w:type="dxa"/>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left"/>
              <w:rPr>
                <w:rFonts w:ascii="微软雅黑" w:eastAsia="微软雅黑" w:hAnsi="微软雅黑" w:cs="宋体"/>
                <w:color w:val="2C3E50"/>
                <w:kern w:val="0"/>
                <w:sz w:val="18"/>
                <w:szCs w:val="18"/>
              </w:rPr>
            </w:pPr>
            <w:r w:rsidRPr="000740F8">
              <w:rPr>
                <w:rFonts w:ascii="宋体" w:eastAsia="宋体" w:hAnsi="宋体" w:cs="宋体" w:hint="eastAsia"/>
                <w:color w:val="2C3E50"/>
                <w:kern w:val="0"/>
                <w:sz w:val="24"/>
                <w:szCs w:val="24"/>
              </w:rPr>
              <w:t>定州市水利局</w:t>
            </w:r>
            <w:r w:rsidRPr="000740F8">
              <w:rPr>
                <w:rFonts w:ascii="仿宋_GB2312" w:eastAsia="仿宋_GB2312" w:hAnsi="微软雅黑" w:cs="宋体" w:hint="eastAsia"/>
                <w:color w:val="2C3E50"/>
                <w:kern w:val="0"/>
                <w:sz w:val="24"/>
                <w:szCs w:val="24"/>
              </w:rPr>
              <w:t>(</w:t>
            </w:r>
            <w:r w:rsidRPr="000740F8">
              <w:rPr>
                <w:rFonts w:ascii="宋体" w:eastAsia="宋体" w:hAnsi="宋体" w:cs="宋体" w:hint="eastAsia"/>
                <w:color w:val="2C3E50"/>
                <w:kern w:val="0"/>
                <w:sz w:val="24"/>
                <w:szCs w:val="24"/>
              </w:rPr>
              <w:t>事业</w:t>
            </w:r>
            <w:r w:rsidRPr="000740F8">
              <w:rPr>
                <w:rFonts w:ascii="仿宋_GB2312" w:eastAsia="仿宋_GB2312" w:hAnsi="微软雅黑" w:cs="宋体" w:hint="eastAsia"/>
                <w:color w:val="2C3E50"/>
                <w:kern w:val="0"/>
                <w:sz w:val="24"/>
                <w:szCs w:val="24"/>
              </w:rPr>
              <w:t>)</w:t>
            </w:r>
          </w:p>
        </w:tc>
        <w:tc>
          <w:tcPr>
            <w:tcW w:w="1920" w:type="dxa"/>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ind w:firstLine="660"/>
              <w:jc w:val="center"/>
              <w:rPr>
                <w:rFonts w:ascii="微软雅黑" w:eastAsia="微软雅黑" w:hAnsi="微软雅黑" w:cs="宋体"/>
                <w:color w:val="2C3E50"/>
                <w:kern w:val="0"/>
                <w:sz w:val="18"/>
                <w:szCs w:val="18"/>
              </w:rPr>
            </w:pPr>
            <w:r w:rsidRPr="000740F8">
              <w:rPr>
                <w:rFonts w:ascii="宋体" w:eastAsia="宋体" w:hAnsi="宋体" w:cs="宋体" w:hint="eastAsia"/>
                <w:color w:val="2C3E50"/>
                <w:kern w:val="0"/>
                <w:sz w:val="24"/>
                <w:szCs w:val="24"/>
              </w:rPr>
              <w:t>事业</w:t>
            </w:r>
          </w:p>
        </w:tc>
        <w:tc>
          <w:tcPr>
            <w:tcW w:w="2340" w:type="dxa"/>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ind w:firstLine="660"/>
              <w:jc w:val="left"/>
              <w:rPr>
                <w:rFonts w:ascii="微软雅黑" w:eastAsia="微软雅黑" w:hAnsi="微软雅黑" w:cs="宋体"/>
                <w:color w:val="2C3E50"/>
                <w:kern w:val="0"/>
                <w:sz w:val="18"/>
                <w:szCs w:val="18"/>
              </w:rPr>
            </w:pPr>
            <w:r w:rsidRPr="000740F8">
              <w:rPr>
                <w:rFonts w:ascii="宋体" w:eastAsia="宋体" w:hAnsi="宋体" w:cs="宋体" w:hint="eastAsia"/>
                <w:color w:val="2C3E50"/>
                <w:kern w:val="0"/>
                <w:sz w:val="24"/>
                <w:szCs w:val="24"/>
              </w:rPr>
              <w:t>全额拨款</w:t>
            </w:r>
          </w:p>
        </w:tc>
      </w:tr>
      <w:tr w:rsidR="000740F8" w:rsidRPr="000740F8" w:rsidTr="000740F8">
        <w:tc>
          <w:tcPr>
            <w:tcW w:w="1500" w:type="dxa"/>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ind w:firstLine="660"/>
              <w:jc w:val="left"/>
              <w:rPr>
                <w:rFonts w:ascii="微软雅黑" w:eastAsia="微软雅黑" w:hAnsi="微软雅黑" w:cs="宋体"/>
                <w:color w:val="2C3E50"/>
                <w:kern w:val="0"/>
                <w:sz w:val="18"/>
                <w:szCs w:val="18"/>
              </w:rPr>
            </w:pPr>
            <w:r w:rsidRPr="000740F8">
              <w:rPr>
                <w:rFonts w:ascii="宋体" w:eastAsia="宋体" w:hAnsi="宋体" w:cs="宋体" w:hint="eastAsia"/>
                <w:color w:val="2C3E50"/>
                <w:kern w:val="0"/>
                <w:sz w:val="18"/>
                <w:szCs w:val="18"/>
              </w:rPr>
              <w:t>332004</w:t>
            </w:r>
          </w:p>
        </w:tc>
        <w:tc>
          <w:tcPr>
            <w:tcW w:w="2505" w:type="dxa"/>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left"/>
              <w:rPr>
                <w:rFonts w:ascii="微软雅黑" w:eastAsia="微软雅黑" w:hAnsi="微软雅黑" w:cs="宋体"/>
                <w:color w:val="2C3E50"/>
                <w:kern w:val="0"/>
                <w:sz w:val="18"/>
                <w:szCs w:val="18"/>
              </w:rPr>
            </w:pPr>
            <w:r w:rsidRPr="000740F8">
              <w:rPr>
                <w:rFonts w:ascii="宋体" w:eastAsia="宋体" w:hAnsi="宋体" w:cs="宋体" w:hint="eastAsia"/>
                <w:color w:val="2C3E50"/>
                <w:kern w:val="0"/>
                <w:sz w:val="24"/>
                <w:szCs w:val="24"/>
              </w:rPr>
              <w:t>定州市水政监察大队</w:t>
            </w:r>
          </w:p>
        </w:tc>
        <w:tc>
          <w:tcPr>
            <w:tcW w:w="1920" w:type="dxa"/>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ind w:firstLine="480"/>
              <w:jc w:val="left"/>
              <w:rPr>
                <w:rFonts w:ascii="微软雅黑" w:eastAsia="微软雅黑" w:hAnsi="微软雅黑" w:cs="宋体"/>
                <w:color w:val="2C3E50"/>
                <w:kern w:val="0"/>
                <w:sz w:val="18"/>
                <w:szCs w:val="18"/>
              </w:rPr>
            </w:pPr>
            <w:r w:rsidRPr="000740F8">
              <w:rPr>
                <w:rFonts w:ascii="宋体" w:eastAsia="宋体" w:hAnsi="宋体" w:cs="宋体" w:hint="eastAsia"/>
                <w:color w:val="2C3E50"/>
                <w:kern w:val="0"/>
                <w:sz w:val="24"/>
                <w:szCs w:val="24"/>
              </w:rPr>
              <w:t>执收执罚</w:t>
            </w:r>
          </w:p>
        </w:tc>
        <w:tc>
          <w:tcPr>
            <w:tcW w:w="2340" w:type="dxa"/>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ind w:firstLine="660"/>
              <w:jc w:val="left"/>
              <w:rPr>
                <w:rFonts w:ascii="微软雅黑" w:eastAsia="微软雅黑" w:hAnsi="微软雅黑" w:cs="宋体"/>
                <w:color w:val="2C3E50"/>
                <w:kern w:val="0"/>
                <w:sz w:val="18"/>
                <w:szCs w:val="18"/>
              </w:rPr>
            </w:pPr>
            <w:r w:rsidRPr="000740F8">
              <w:rPr>
                <w:rFonts w:ascii="宋体" w:eastAsia="宋体" w:hAnsi="宋体" w:cs="宋体" w:hint="eastAsia"/>
                <w:color w:val="2C3E50"/>
                <w:kern w:val="0"/>
                <w:sz w:val="24"/>
                <w:szCs w:val="24"/>
              </w:rPr>
              <w:t>收费开支</w:t>
            </w:r>
          </w:p>
        </w:tc>
      </w:tr>
    </w:tbl>
    <w:p w:rsidR="000740F8" w:rsidRPr="000740F8" w:rsidRDefault="000740F8" w:rsidP="000740F8">
      <w:pPr>
        <w:widowControl/>
        <w:spacing w:after="240" w:line="300" w:lineRule="atLeast"/>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二、部门预算安排总体情况</w:t>
      </w:r>
    </w:p>
    <w:p w:rsidR="000740F8" w:rsidRPr="000740F8" w:rsidRDefault="000740F8" w:rsidP="000740F8">
      <w:pPr>
        <w:widowControl/>
        <w:spacing w:after="240" w:line="300" w:lineRule="atLeast"/>
        <w:ind w:firstLine="645"/>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我部门本年收入9912.13万元，其中：财政拨款9912.13万元；上级补助收入 0万元；事业收入0万元；经营收入0万元；附属单位上解收入0万元，其他收入0万元。安排支出9912.13万元 ，其中：基本支出1691.36万元；项目支出8220.77万元；上缴上级支出0万元；经营支出0万元；对附属单位补助支出0万元。</w:t>
      </w:r>
    </w:p>
    <w:p w:rsidR="000740F8" w:rsidRPr="000740F8" w:rsidRDefault="000740F8" w:rsidP="000740F8">
      <w:pPr>
        <w:widowControl/>
        <w:spacing w:after="240" w:line="300" w:lineRule="atLeast"/>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三、机关运行经费安排情况</w:t>
      </w:r>
    </w:p>
    <w:p w:rsidR="000740F8" w:rsidRPr="000740F8" w:rsidRDefault="000740F8" w:rsidP="000740F8">
      <w:pPr>
        <w:widowControl/>
        <w:spacing w:after="240" w:line="300" w:lineRule="atLeast"/>
        <w:ind w:firstLine="645"/>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lastRenderedPageBreak/>
        <w:t>我部门安排机关运行经费111.18万元，其中：办公及印刷费7.82万元、邮电费15.62万元、差旅费 9.78万元、会议费0万元、其他交通费用10.8万元、福利费12.17万元、工会经费9.52万元、专用材料及一般设备购置费0万元、办公用房水电费 11.13万元、办公用房取暖费 30.74万元、办公用房运行费 0万元、燃料费1.8万元、日常维修费0.9万元、保险费0.9万元、公务用车运行维护费及其他费用3.6万元。</w:t>
      </w:r>
    </w:p>
    <w:p w:rsidR="000740F8" w:rsidRPr="000740F8" w:rsidRDefault="000740F8" w:rsidP="000740F8">
      <w:pPr>
        <w:widowControl/>
        <w:spacing w:after="240" w:line="300" w:lineRule="atLeast"/>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四、财政拨款“三公”经费预算情况</w:t>
      </w:r>
    </w:p>
    <w:p w:rsidR="000740F8" w:rsidRPr="000740F8" w:rsidRDefault="000740F8" w:rsidP="000740F8">
      <w:pPr>
        <w:widowControl/>
        <w:spacing w:after="240" w:line="300" w:lineRule="atLeast"/>
        <w:ind w:firstLine="645"/>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因公出国（境）费安排0万元。公务用车购置及运行费3.6万元，其中：公务用车购置费0万元、公务用车运行费</w:t>
      </w:r>
      <w:r w:rsidRPr="000740F8">
        <w:rPr>
          <w:rFonts w:ascii="仿宋_GB2312" w:eastAsia="仿宋_GB2312" w:hAnsi="微软雅黑" w:cs="宋体" w:hint="eastAsia"/>
          <w:color w:val="2C3E50"/>
          <w:kern w:val="0"/>
          <w:sz w:val="32"/>
          <w:szCs w:val="32"/>
        </w:rPr>
        <w:t> </w:t>
      </w:r>
      <w:r w:rsidRPr="000740F8">
        <w:rPr>
          <w:rFonts w:ascii="仿宋_GB2312" w:eastAsia="仿宋_GB2312" w:hAnsi="微软雅黑" w:cs="宋体" w:hint="eastAsia"/>
          <w:color w:val="2C3E50"/>
          <w:kern w:val="0"/>
          <w:sz w:val="32"/>
          <w:szCs w:val="32"/>
        </w:rPr>
        <w:t xml:space="preserve"> 3.6万元。公务接待费0万元。与上年预算(5.18万元)相比少1.58万元，主要原因为： 我单位车辆减少,严格执行中央八项规定，厉行节约，严格执行对口接待，尽量减少陪同人员，并增强节约意识，拒绝浪费。</w:t>
      </w:r>
      <w:r w:rsidRPr="000740F8">
        <w:rPr>
          <w:rFonts w:ascii="仿宋_GB2312" w:eastAsia="仿宋_GB2312" w:hAnsi="微软雅黑" w:cs="宋体" w:hint="eastAsia"/>
          <w:color w:val="2C3E50"/>
          <w:kern w:val="0"/>
          <w:sz w:val="32"/>
          <w:szCs w:val="32"/>
        </w:rPr>
        <w:t> </w:t>
      </w:r>
    </w:p>
    <w:p w:rsidR="000740F8" w:rsidRPr="000740F8" w:rsidRDefault="000740F8" w:rsidP="000740F8">
      <w:pPr>
        <w:widowControl/>
        <w:spacing w:after="240" w:line="300" w:lineRule="atLeast"/>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五、绩效预算信息情况</w:t>
      </w:r>
    </w:p>
    <w:p w:rsidR="000740F8" w:rsidRPr="000740F8" w:rsidRDefault="000740F8" w:rsidP="000740F8">
      <w:pPr>
        <w:widowControl/>
        <w:spacing w:after="240" w:line="300" w:lineRule="atLeast"/>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lastRenderedPageBreak/>
        <w:t>  </w:t>
      </w:r>
      <w:r w:rsidRPr="000740F8">
        <w:rPr>
          <w:rFonts w:ascii="仿宋_GB2312" w:eastAsia="仿宋_GB2312" w:hAnsi="微软雅黑" w:cs="宋体" w:hint="eastAsia"/>
          <w:color w:val="2C3E50"/>
          <w:kern w:val="0"/>
          <w:sz w:val="32"/>
        </w:rPr>
        <w:t> </w:t>
      </w:r>
      <w:r w:rsidRPr="000740F8">
        <w:rPr>
          <w:rFonts w:ascii="仿宋_GB2312" w:eastAsia="仿宋_GB2312" w:hAnsi="微软雅黑" w:cs="宋体" w:hint="eastAsia"/>
          <w:color w:val="2C3E50"/>
          <w:kern w:val="0"/>
          <w:sz w:val="32"/>
          <w:szCs w:val="32"/>
        </w:rPr>
        <w:t>总体绩效目标：</w:t>
      </w:r>
    </w:p>
    <w:p w:rsidR="000740F8" w:rsidRPr="000740F8" w:rsidRDefault="000740F8" w:rsidP="000740F8">
      <w:pPr>
        <w:widowControl/>
        <w:spacing w:after="240" w:line="300" w:lineRule="atLeast"/>
        <w:ind w:firstLine="555"/>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加快推进中小河流治理项目，完成唐河二期综合整治工程。保障农村安全饮水，加大地下水超采的治理项目，坚持防汛抗旱两手抓，加强水资源管理和河道采砂治理工作。</w:t>
      </w:r>
    </w:p>
    <w:p w:rsidR="000740F8" w:rsidRPr="000740F8" w:rsidRDefault="000740F8" w:rsidP="000740F8">
      <w:pPr>
        <w:widowControl/>
        <w:spacing w:after="240" w:line="300" w:lineRule="atLeast"/>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部门职责分类绩效目标：</w:t>
      </w:r>
    </w:p>
    <w:p w:rsidR="000740F8" w:rsidRPr="000740F8" w:rsidRDefault="000740F8" w:rsidP="000740F8">
      <w:pPr>
        <w:widowControl/>
        <w:spacing w:after="240" w:line="300" w:lineRule="atLeast"/>
        <w:ind w:firstLine="555"/>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职责分类绩效目标：唐河、中小河流治理项目，按期保质保量完成水利项目建设任务。保障农村供水安全，促进水资源可持续发展，改善生态环境，发挥防汛抗旱减灾体系作用，提升科技成果应用的效果和效率</w:t>
      </w:r>
    </w:p>
    <w:p w:rsidR="000740F8" w:rsidRPr="000740F8" w:rsidRDefault="000740F8" w:rsidP="000740F8">
      <w:pPr>
        <w:widowControl/>
        <w:spacing w:after="240" w:line="300" w:lineRule="atLeast"/>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实现年度发展规划目标的保障措施：</w:t>
      </w:r>
    </w:p>
    <w:p w:rsidR="000740F8" w:rsidRPr="000740F8" w:rsidRDefault="000740F8" w:rsidP="000740F8">
      <w:pPr>
        <w:widowControl/>
        <w:spacing w:after="240" w:line="300" w:lineRule="atLeast"/>
        <w:ind w:firstLine="480"/>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积极争取上级资金，加快完成水利工程建设项目，争取地下水压采项目，发展高压节水灌溉。在确保汛期安全的前提下，打井抗旱，做到有讯防汛，无汛抗旱，防汛抗旱两不误。落实最严格水资源</w:t>
      </w:r>
      <w:r w:rsidRPr="000740F8">
        <w:rPr>
          <w:rFonts w:ascii="仿宋_GB2312" w:eastAsia="仿宋_GB2312" w:hAnsi="微软雅黑" w:cs="宋体" w:hint="eastAsia"/>
          <w:color w:val="2C3E50"/>
          <w:kern w:val="0"/>
          <w:sz w:val="32"/>
          <w:szCs w:val="32"/>
        </w:rPr>
        <w:lastRenderedPageBreak/>
        <w:t>管理制度，加强水资源管理。加强采砂行为的日常监督，加大对违法违规采砂的查处力度，规范河道采砂行为，维护正常水事秩序。</w:t>
      </w:r>
    </w:p>
    <w:p w:rsidR="000740F8" w:rsidRPr="000740F8" w:rsidRDefault="000740F8" w:rsidP="000740F8">
      <w:pPr>
        <w:widowControl/>
        <w:spacing w:after="240" w:line="300" w:lineRule="atLeast"/>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工作活动绩效目标:</w:t>
      </w:r>
    </w:p>
    <w:tbl>
      <w:tblPr>
        <w:tblW w:w="10215" w:type="dxa"/>
        <w:tblCellMar>
          <w:left w:w="0" w:type="dxa"/>
          <w:right w:w="0" w:type="dxa"/>
        </w:tblCellMar>
        <w:tblLook w:val="04A0"/>
      </w:tblPr>
      <w:tblGrid>
        <w:gridCol w:w="1158"/>
        <w:gridCol w:w="1051"/>
        <w:gridCol w:w="2844"/>
        <w:gridCol w:w="1082"/>
        <w:gridCol w:w="1522"/>
        <w:gridCol w:w="597"/>
        <w:gridCol w:w="540"/>
        <w:gridCol w:w="540"/>
        <w:gridCol w:w="881"/>
      </w:tblGrid>
      <w:tr w:rsidR="000740F8" w:rsidRPr="000740F8" w:rsidTr="000740F8">
        <w:trPr>
          <w:trHeight w:val="225"/>
          <w:tblHeader/>
        </w:trPr>
        <w:tc>
          <w:tcPr>
            <w:tcW w:w="7890" w:type="dxa"/>
            <w:gridSpan w:val="5"/>
            <w:tcBorders>
              <w:top w:val="nil"/>
              <w:left w:val="single" w:sz="6" w:space="0" w:color="FFFFFF"/>
              <w:bottom w:val="single" w:sz="4" w:space="0" w:color="auto"/>
              <w:right w:val="nil"/>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left"/>
              <w:rPr>
                <w:rFonts w:ascii="微软雅黑" w:eastAsia="微软雅黑" w:hAnsi="微软雅黑" w:cs="宋体"/>
                <w:color w:val="2C3E50"/>
                <w:kern w:val="0"/>
                <w:sz w:val="18"/>
                <w:szCs w:val="18"/>
              </w:rPr>
            </w:pPr>
            <w:r w:rsidRPr="000740F8">
              <w:rPr>
                <w:rFonts w:ascii="方正小标宋_GBK" w:eastAsia="方正小标宋_GBK" w:hAnsi="微软雅黑" w:cs="宋体" w:hint="eastAsia"/>
                <w:color w:val="2C3E50"/>
                <w:kern w:val="0"/>
                <w:sz w:val="24"/>
                <w:szCs w:val="24"/>
              </w:rPr>
              <w:t>332水利</w:t>
            </w:r>
          </w:p>
        </w:tc>
        <w:tc>
          <w:tcPr>
            <w:tcW w:w="2325" w:type="dxa"/>
            <w:gridSpan w:val="4"/>
            <w:tcBorders>
              <w:top w:val="nil"/>
              <w:left w:val="nil"/>
              <w:bottom w:val="single" w:sz="4" w:space="0" w:color="auto"/>
              <w:right w:val="nil"/>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right"/>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24"/>
                <w:szCs w:val="24"/>
              </w:rPr>
              <w:t>单位：万元</w:t>
            </w:r>
          </w:p>
        </w:tc>
      </w:tr>
      <w:tr w:rsidR="000740F8" w:rsidRPr="000740F8" w:rsidTr="000740F8">
        <w:trPr>
          <w:trHeight w:val="225"/>
          <w:tblHeader/>
        </w:trPr>
        <w:tc>
          <w:tcPr>
            <w:tcW w:w="11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b/>
                <w:bCs/>
                <w:color w:val="2C3E50"/>
                <w:kern w:val="0"/>
                <w:sz w:val="18"/>
                <w:szCs w:val="18"/>
              </w:rPr>
              <w:t>职责活动</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b/>
                <w:bCs/>
                <w:color w:val="2C3E50"/>
                <w:kern w:val="0"/>
                <w:sz w:val="18"/>
                <w:szCs w:val="18"/>
              </w:rPr>
              <w:t>年度预算数</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b/>
                <w:bCs/>
                <w:color w:val="2C3E50"/>
                <w:kern w:val="0"/>
                <w:sz w:val="18"/>
                <w:szCs w:val="18"/>
              </w:rPr>
              <w:t>内容描述</w:t>
            </w:r>
          </w:p>
        </w:tc>
        <w:tc>
          <w:tcPr>
            <w:tcW w:w="111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b/>
                <w:bCs/>
                <w:color w:val="2C3E50"/>
                <w:kern w:val="0"/>
                <w:sz w:val="18"/>
                <w:szCs w:val="18"/>
              </w:rPr>
              <w:t>绩效目标</w:t>
            </w:r>
          </w:p>
        </w:tc>
        <w:tc>
          <w:tcPr>
            <w:tcW w:w="157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b/>
                <w:bCs/>
                <w:color w:val="2C3E50"/>
                <w:kern w:val="0"/>
                <w:sz w:val="18"/>
                <w:szCs w:val="18"/>
              </w:rPr>
              <w:t>绩效指标</w:t>
            </w:r>
          </w:p>
        </w:tc>
        <w:tc>
          <w:tcPr>
            <w:tcW w:w="2325" w:type="dxa"/>
            <w:gridSpan w:val="4"/>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b/>
                <w:bCs/>
                <w:color w:val="2C3E50"/>
                <w:kern w:val="0"/>
                <w:sz w:val="18"/>
                <w:szCs w:val="18"/>
              </w:rPr>
              <w:t>评价标准</w:t>
            </w:r>
          </w:p>
        </w:tc>
      </w:tr>
      <w:tr w:rsidR="000740F8" w:rsidRPr="000740F8" w:rsidTr="000740F8">
        <w:trPr>
          <w:trHeight w:val="225"/>
          <w:tblHeader/>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740F8" w:rsidRPr="000740F8" w:rsidRDefault="000740F8" w:rsidP="000740F8">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740F8" w:rsidRPr="000740F8" w:rsidRDefault="000740F8" w:rsidP="000740F8">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740F8" w:rsidRPr="000740F8" w:rsidRDefault="000740F8" w:rsidP="000740F8">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740F8" w:rsidRPr="000740F8" w:rsidRDefault="000740F8" w:rsidP="000740F8">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740F8" w:rsidRPr="000740F8" w:rsidRDefault="000740F8" w:rsidP="000740F8">
            <w:pPr>
              <w:widowControl/>
              <w:jc w:val="left"/>
              <w:rPr>
                <w:rFonts w:ascii="微软雅黑" w:eastAsia="微软雅黑" w:hAnsi="微软雅黑" w:cs="宋体"/>
                <w:color w:val="2C3E50"/>
                <w:kern w:val="0"/>
                <w:sz w:val="18"/>
                <w:szCs w:val="18"/>
              </w:rPr>
            </w:pPr>
          </w:p>
        </w:tc>
        <w:tc>
          <w:tcPr>
            <w:tcW w:w="60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b/>
                <w:bCs/>
                <w:color w:val="2C3E50"/>
                <w:kern w:val="0"/>
                <w:sz w:val="18"/>
                <w:szCs w:val="18"/>
              </w:rPr>
              <w:t>优</w:t>
            </w:r>
          </w:p>
        </w:tc>
        <w:tc>
          <w:tcPr>
            <w:tcW w:w="45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b/>
                <w:bCs/>
                <w:color w:val="2C3E50"/>
                <w:kern w:val="0"/>
                <w:sz w:val="18"/>
                <w:szCs w:val="18"/>
              </w:rPr>
              <w:t>良</w:t>
            </w:r>
          </w:p>
        </w:tc>
        <w:tc>
          <w:tcPr>
            <w:tcW w:w="3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b/>
                <w:bCs/>
                <w:color w:val="2C3E50"/>
                <w:kern w:val="0"/>
                <w:sz w:val="18"/>
                <w:szCs w:val="18"/>
              </w:rPr>
              <w:t>中</w:t>
            </w:r>
          </w:p>
        </w:tc>
        <w:tc>
          <w:tcPr>
            <w:tcW w:w="70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b/>
                <w:bCs/>
                <w:color w:val="2C3E50"/>
                <w:kern w:val="0"/>
                <w:sz w:val="18"/>
                <w:szCs w:val="18"/>
              </w:rPr>
              <w:t>差</w:t>
            </w:r>
          </w:p>
        </w:tc>
      </w:tr>
      <w:tr w:rsidR="000740F8" w:rsidRPr="000740F8" w:rsidTr="000740F8">
        <w:trPr>
          <w:trHeight w:val="225"/>
        </w:trPr>
        <w:tc>
          <w:tcPr>
            <w:tcW w:w="11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left"/>
              <w:rPr>
                <w:rFonts w:ascii="微软雅黑" w:eastAsia="微软雅黑" w:hAnsi="微软雅黑" w:cs="宋体"/>
                <w:color w:val="2C3E50"/>
                <w:kern w:val="0"/>
                <w:sz w:val="18"/>
                <w:szCs w:val="18"/>
              </w:rPr>
            </w:pPr>
            <w:r w:rsidRPr="000740F8">
              <w:rPr>
                <w:rFonts w:ascii="Times New Roman" w:eastAsia="微软雅黑" w:hAnsi="Times New Roman" w:cs="Times New Roman"/>
                <w:b/>
                <w:bCs/>
                <w:color w:val="2C3E50"/>
                <w:kern w:val="0"/>
                <w:sz w:val="18"/>
                <w:szCs w:val="18"/>
              </w:rPr>
              <w:t xml:space="preserve">　　水利工程建设（大清河及唐河治理工程）</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left"/>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1857.00</w:t>
            </w:r>
          </w:p>
        </w:tc>
        <w:tc>
          <w:tcPr>
            <w:tcW w:w="297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left"/>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组织实施水利工程项目建设，组织指导水利工程的勘测、施工和安全管理，承办水利基建项目建议书和可行性报告，初级报告的立项申请。</w:t>
            </w:r>
          </w:p>
        </w:tc>
        <w:tc>
          <w:tcPr>
            <w:tcW w:w="1110"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left"/>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2017</w:t>
            </w:r>
          </w:p>
        </w:tc>
        <w:tc>
          <w:tcPr>
            <w:tcW w:w="15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left"/>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按期保质保量完成水利项目建设任务</w:t>
            </w:r>
          </w:p>
        </w:tc>
        <w:tc>
          <w:tcPr>
            <w:tcW w:w="60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90%</w:t>
            </w:r>
          </w:p>
        </w:tc>
        <w:tc>
          <w:tcPr>
            <w:tcW w:w="45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80%</w:t>
            </w:r>
          </w:p>
        </w:tc>
        <w:tc>
          <w:tcPr>
            <w:tcW w:w="3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60%</w:t>
            </w:r>
          </w:p>
        </w:tc>
        <w:tc>
          <w:tcPr>
            <w:tcW w:w="70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60%</w:t>
            </w:r>
            <w:r w:rsidRPr="000740F8">
              <w:rPr>
                <w:rFonts w:ascii="Times New Roman" w:eastAsia="微软雅黑" w:hAnsi="Times New Roman" w:cs="Times New Roman"/>
                <w:color w:val="2C3E50"/>
                <w:kern w:val="0"/>
                <w:sz w:val="18"/>
                <w:szCs w:val="18"/>
              </w:rPr>
              <w:t>以下</w:t>
            </w:r>
          </w:p>
        </w:tc>
      </w:tr>
      <w:tr w:rsidR="000740F8" w:rsidRPr="000740F8" w:rsidTr="000740F8">
        <w:trPr>
          <w:trHeight w:val="225"/>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740F8" w:rsidRPr="000740F8" w:rsidRDefault="000740F8" w:rsidP="000740F8">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740F8" w:rsidRPr="000740F8" w:rsidRDefault="000740F8" w:rsidP="000740F8">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740F8" w:rsidRPr="000740F8" w:rsidRDefault="000740F8" w:rsidP="000740F8">
            <w:pPr>
              <w:widowControl/>
              <w:jc w:val="left"/>
              <w:rPr>
                <w:rFonts w:ascii="微软雅黑" w:eastAsia="微软雅黑" w:hAnsi="微软雅黑" w:cs="宋体"/>
                <w:color w:val="2C3E50"/>
                <w:kern w:val="0"/>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0740F8" w:rsidRPr="000740F8" w:rsidRDefault="000740F8" w:rsidP="000740F8">
            <w:pPr>
              <w:widowControl/>
              <w:jc w:val="left"/>
              <w:rPr>
                <w:rFonts w:ascii="微软雅黑" w:eastAsia="微软雅黑" w:hAnsi="微软雅黑" w:cs="宋体"/>
                <w:color w:val="2C3E50"/>
                <w:kern w:val="0"/>
                <w:sz w:val="18"/>
                <w:szCs w:val="18"/>
              </w:rPr>
            </w:pPr>
          </w:p>
        </w:tc>
        <w:tc>
          <w:tcPr>
            <w:tcW w:w="15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left"/>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按期保质保量完成水利项目建设任务</w:t>
            </w:r>
          </w:p>
        </w:tc>
        <w:tc>
          <w:tcPr>
            <w:tcW w:w="60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90%</w:t>
            </w:r>
          </w:p>
        </w:tc>
        <w:tc>
          <w:tcPr>
            <w:tcW w:w="45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80%</w:t>
            </w:r>
          </w:p>
        </w:tc>
        <w:tc>
          <w:tcPr>
            <w:tcW w:w="3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60%</w:t>
            </w:r>
          </w:p>
        </w:tc>
        <w:tc>
          <w:tcPr>
            <w:tcW w:w="70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60%</w:t>
            </w:r>
            <w:r w:rsidRPr="000740F8">
              <w:rPr>
                <w:rFonts w:ascii="Times New Roman" w:eastAsia="微软雅黑" w:hAnsi="Times New Roman" w:cs="Times New Roman"/>
                <w:color w:val="2C3E50"/>
                <w:kern w:val="0"/>
                <w:sz w:val="18"/>
                <w:szCs w:val="18"/>
              </w:rPr>
              <w:t>以下</w:t>
            </w:r>
          </w:p>
        </w:tc>
      </w:tr>
      <w:tr w:rsidR="000740F8" w:rsidRPr="000740F8" w:rsidTr="000740F8">
        <w:trPr>
          <w:trHeight w:val="225"/>
        </w:trPr>
        <w:tc>
          <w:tcPr>
            <w:tcW w:w="11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left"/>
              <w:rPr>
                <w:rFonts w:ascii="微软雅黑" w:eastAsia="微软雅黑" w:hAnsi="微软雅黑" w:cs="宋体"/>
                <w:color w:val="2C3E50"/>
                <w:kern w:val="0"/>
                <w:sz w:val="18"/>
                <w:szCs w:val="18"/>
              </w:rPr>
            </w:pPr>
            <w:r w:rsidRPr="000740F8">
              <w:rPr>
                <w:rFonts w:ascii="Times New Roman" w:eastAsia="微软雅黑" w:hAnsi="Times New Roman" w:cs="Times New Roman"/>
                <w:b/>
                <w:bCs/>
                <w:color w:val="2C3E50"/>
                <w:kern w:val="0"/>
                <w:sz w:val="18"/>
                <w:szCs w:val="18"/>
              </w:rPr>
              <w:t xml:space="preserve">　　水利工程运行与维护（冀财农【</w:t>
            </w:r>
            <w:r w:rsidRPr="000740F8">
              <w:rPr>
                <w:rFonts w:ascii="Times New Roman" w:eastAsia="微软雅黑" w:hAnsi="Times New Roman" w:cs="Times New Roman"/>
                <w:b/>
                <w:bCs/>
                <w:color w:val="2C3E50"/>
                <w:kern w:val="0"/>
                <w:sz w:val="18"/>
                <w:szCs w:val="18"/>
              </w:rPr>
              <w:t>2016</w:t>
            </w:r>
            <w:r w:rsidRPr="000740F8">
              <w:rPr>
                <w:rFonts w:ascii="Times New Roman" w:eastAsia="微软雅黑" w:hAnsi="Times New Roman" w:cs="Times New Roman"/>
                <w:b/>
                <w:bCs/>
                <w:color w:val="2C3E50"/>
                <w:kern w:val="0"/>
                <w:sz w:val="18"/>
                <w:szCs w:val="18"/>
              </w:rPr>
              <w:t>】</w:t>
            </w:r>
            <w:r w:rsidRPr="000740F8">
              <w:rPr>
                <w:rFonts w:ascii="Times New Roman" w:eastAsia="微软雅黑" w:hAnsi="Times New Roman" w:cs="Times New Roman"/>
                <w:b/>
                <w:bCs/>
                <w:color w:val="2C3E50"/>
                <w:kern w:val="0"/>
                <w:sz w:val="18"/>
                <w:szCs w:val="18"/>
              </w:rPr>
              <w:t>186</w:t>
            </w:r>
            <w:r w:rsidRPr="000740F8">
              <w:rPr>
                <w:rFonts w:ascii="Times New Roman" w:eastAsia="微软雅黑" w:hAnsi="Times New Roman" w:cs="Times New Roman"/>
                <w:b/>
                <w:bCs/>
                <w:color w:val="2C3E50"/>
                <w:kern w:val="0"/>
                <w:sz w:val="18"/>
                <w:szCs w:val="18"/>
              </w:rPr>
              <w:t>号）中央水</w:t>
            </w:r>
            <w:r w:rsidRPr="000740F8">
              <w:rPr>
                <w:rFonts w:ascii="Times New Roman" w:eastAsia="微软雅黑" w:hAnsi="Times New Roman" w:cs="Times New Roman"/>
                <w:b/>
                <w:bCs/>
                <w:color w:val="2C3E50"/>
                <w:kern w:val="0"/>
                <w:sz w:val="18"/>
                <w:szCs w:val="18"/>
              </w:rPr>
              <w:lastRenderedPageBreak/>
              <w:t>利发展资金</w:t>
            </w:r>
          </w:p>
        </w:tc>
        <w:tc>
          <w:tcPr>
            <w:tcW w:w="106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left"/>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lastRenderedPageBreak/>
              <w:t>2122.00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left"/>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指导河道堤防、水闸、联村集中供水工程等水利工程运行管理和加强对全市水利行业的安全生产监督、检查。对水利工程进行维修养</w:t>
            </w:r>
            <w:r w:rsidRPr="000740F8">
              <w:rPr>
                <w:rFonts w:ascii="Times New Roman" w:eastAsia="微软雅黑" w:hAnsi="Times New Roman" w:cs="Times New Roman"/>
                <w:color w:val="2C3E50"/>
                <w:kern w:val="0"/>
                <w:sz w:val="18"/>
                <w:szCs w:val="18"/>
              </w:rPr>
              <w:lastRenderedPageBreak/>
              <w:t>护，确保工程安全运行。</w:t>
            </w:r>
          </w:p>
        </w:tc>
        <w:tc>
          <w:tcPr>
            <w:tcW w:w="11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left"/>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lastRenderedPageBreak/>
              <w:t>2017</w:t>
            </w:r>
          </w:p>
        </w:tc>
        <w:tc>
          <w:tcPr>
            <w:tcW w:w="15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left"/>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年度维修养护工程质量全部合格，工程正常运行。</w:t>
            </w:r>
          </w:p>
        </w:tc>
        <w:tc>
          <w:tcPr>
            <w:tcW w:w="60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90%</w:t>
            </w:r>
          </w:p>
        </w:tc>
        <w:tc>
          <w:tcPr>
            <w:tcW w:w="45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80%</w:t>
            </w:r>
          </w:p>
        </w:tc>
        <w:tc>
          <w:tcPr>
            <w:tcW w:w="3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60%</w:t>
            </w:r>
          </w:p>
        </w:tc>
        <w:tc>
          <w:tcPr>
            <w:tcW w:w="70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center"/>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60%</w:t>
            </w:r>
            <w:r w:rsidRPr="000740F8">
              <w:rPr>
                <w:rFonts w:ascii="Times New Roman" w:eastAsia="微软雅黑" w:hAnsi="Times New Roman" w:cs="Times New Roman"/>
                <w:color w:val="2C3E50"/>
                <w:kern w:val="0"/>
                <w:sz w:val="18"/>
                <w:szCs w:val="18"/>
              </w:rPr>
              <w:t>以下</w:t>
            </w:r>
          </w:p>
        </w:tc>
      </w:tr>
      <w:tr w:rsidR="000740F8" w:rsidRPr="000740F8" w:rsidTr="000740F8">
        <w:trPr>
          <w:trHeight w:val="225"/>
        </w:trPr>
        <w:tc>
          <w:tcPr>
            <w:tcW w:w="11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left"/>
              <w:rPr>
                <w:rFonts w:ascii="微软雅黑" w:eastAsia="微软雅黑" w:hAnsi="微软雅黑" w:cs="宋体"/>
                <w:color w:val="2C3E50"/>
                <w:kern w:val="0"/>
                <w:sz w:val="18"/>
                <w:szCs w:val="18"/>
              </w:rPr>
            </w:pPr>
            <w:r w:rsidRPr="000740F8">
              <w:rPr>
                <w:rFonts w:ascii="Times New Roman" w:eastAsia="微软雅黑" w:hAnsi="Times New Roman" w:cs="Times New Roman"/>
                <w:b/>
                <w:bCs/>
                <w:color w:val="2C3E50"/>
                <w:kern w:val="0"/>
                <w:sz w:val="18"/>
                <w:szCs w:val="18"/>
              </w:rPr>
              <w:lastRenderedPageBreak/>
              <w:t>水资源保护和生态建设（冀财预【</w:t>
            </w:r>
            <w:r w:rsidRPr="000740F8">
              <w:rPr>
                <w:rFonts w:ascii="Times New Roman" w:eastAsia="微软雅黑" w:hAnsi="Times New Roman" w:cs="Times New Roman"/>
                <w:b/>
                <w:bCs/>
                <w:color w:val="2C3E50"/>
                <w:kern w:val="0"/>
                <w:sz w:val="18"/>
                <w:szCs w:val="18"/>
              </w:rPr>
              <w:t>2016</w:t>
            </w:r>
            <w:r w:rsidRPr="000740F8">
              <w:rPr>
                <w:rFonts w:ascii="Times New Roman" w:eastAsia="微软雅黑" w:hAnsi="Times New Roman" w:cs="Times New Roman"/>
                <w:b/>
                <w:bCs/>
                <w:color w:val="2C3E50"/>
                <w:kern w:val="0"/>
                <w:sz w:val="18"/>
                <w:szCs w:val="18"/>
              </w:rPr>
              <w:t>】</w:t>
            </w:r>
            <w:r w:rsidRPr="000740F8">
              <w:rPr>
                <w:rFonts w:ascii="Times New Roman" w:eastAsia="微软雅黑" w:hAnsi="Times New Roman" w:cs="Times New Roman"/>
                <w:b/>
                <w:bCs/>
                <w:color w:val="2C3E50"/>
                <w:kern w:val="0"/>
                <w:sz w:val="18"/>
                <w:szCs w:val="18"/>
              </w:rPr>
              <w:t>165</w:t>
            </w:r>
            <w:r w:rsidRPr="000740F8">
              <w:rPr>
                <w:rFonts w:ascii="Times New Roman" w:eastAsia="微软雅黑" w:hAnsi="Times New Roman" w:cs="Times New Roman"/>
                <w:b/>
                <w:bCs/>
                <w:color w:val="2C3E50"/>
                <w:kern w:val="0"/>
                <w:sz w:val="18"/>
                <w:szCs w:val="18"/>
              </w:rPr>
              <w:t>号地下水超采综合治理）</w:t>
            </w:r>
          </w:p>
        </w:tc>
        <w:tc>
          <w:tcPr>
            <w:tcW w:w="106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left"/>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1342.00</w:t>
            </w:r>
          </w:p>
        </w:tc>
        <w:tc>
          <w:tcPr>
            <w:tcW w:w="297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left"/>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组织实施全市水资源管理和水土保持相关工作</w:t>
            </w:r>
          </w:p>
        </w:tc>
        <w:tc>
          <w:tcPr>
            <w:tcW w:w="111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after="240" w:line="300" w:lineRule="atLeast"/>
              <w:jc w:val="left"/>
              <w:rPr>
                <w:rFonts w:ascii="微软雅黑" w:eastAsia="微软雅黑" w:hAnsi="微软雅黑" w:cs="宋体"/>
                <w:color w:val="2C3E50"/>
                <w:kern w:val="0"/>
                <w:sz w:val="18"/>
                <w:szCs w:val="18"/>
              </w:rPr>
            </w:pPr>
            <w:r w:rsidRPr="000740F8">
              <w:rPr>
                <w:rFonts w:ascii="Times New Roman" w:eastAsia="微软雅黑" w:hAnsi="Times New Roman" w:cs="Times New Roman"/>
                <w:color w:val="2C3E50"/>
                <w:kern w:val="0"/>
                <w:sz w:val="18"/>
                <w:szCs w:val="18"/>
              </w:rPr>
              <w:t>促进水资源可持续发展，保护生态环境</w:t>
            </w:r>
          </w:p>
        </w:tc>
        <w:tc>
          <w:tcPr>
            <w:tcW w:w="15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line="300" w:lineRule="atLeast"/>
              <w:jc w:val="left"/>
              <w:rPr>
                <w:rFonts w:ascii="微软雅黑" w:eastAsia="微软雅黑" w:hAnsi="微软雅黑" w:cs="宋体"/>
                <w:color w:val="2C3E50"/>
                <w:kern w:val="0"/>
                <w:sz w:val="18"/>
                <w:szCs w:val="18"/>
              </w:rPr>
            </w:pPr>
          </w:p>
        </w:tc>
        <w:tc>
          <w:tcPr>
            <w:tcW w:w="60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line="300" w:lineRule="atLeast"/>
              <w:jc w:val="left"/>
              <w:rPr>
                <w:rFonts w:ascii="微软雅黑" w:eastAsia="微软雅黑" w:hAnsi="微软雅黑" w:cs="宋体"/>
                <w:color w:val="2C3E50"/>
                <w:kern w:val="0"/>
                <w:sz w:val="18"/>
                <w:szCs w:val="18"/>
              </w:rPr>
            </w:pPr>
          </w:p>
        </w:tc>
        <w:tc>
          <w:tcPr>
            <w:tcW w:w="450"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line="300" w:lineRule="atLeast"/>
              <w:jc w:val="left"/>
              <w:rPr>
                <w:rFonts w:ascii="微软雅黑" w:eastAsia="微软雅黑" w:hAnsi="微软雅黑" w:cs="宋体"/>
                <w:color w:val="2C3E50"/>
                <w:kern w:val="0"/>
                <w:sz w:val="18"/>
                <w:szCs w:val="18"/>
              </w:rPr>
            </w:pPr>
          </w:p>
        </w:tc>
        <w:tc>
          <w:tcPr>
            <w:tcW w:w="37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line="300" w:lineRule="atLeast"/>
              <w:jc w:val="left"/>
              <w:rPr>
                <w:rFonts w:ascii="微软雅黑" w:eastAsia="微软雅黑" w:hAnsi="微软雅黑" w:cs="宋体"/>
                <w:color w:val="2C3E50"/>
                <w:kern w:val="0"/>
                <w:sz w:val="18"/>
                <w:szCs w:val="18"/>
              </w:rPr>
            </w:pPr>
          </w:p>
        </w:tc>
        <w:tc>
          <w:tcPr>
            <w:tcW w:w="705" w:type="dxa"/>
            <w:tcBorders>
              <w:top w:val="single" w:sz="4" w:space="0" w:color="auto"/>
              <w:left w:val="single" w:sz="4" w:space="0" w:color="auto"/>
              <w:bottom w:val="single" w:sz="4" w:space="0" w:color="auto"/>
              <w:right w:val="single" w:sz="4" w:space="0" w:color="auto"/>
            </w:tcBorders>
            <w:shd w:val="clear" w:color="auto" w:fill="auto"/>
            <w:tcMar>
              <w:top w:w="0" w:type="dxa"/>
              <w:left w:w="105" w:type="dxa"/>
              <w:bottom w:w="0" w:type="dxa"/>
              <w:right w:w="105" w:type="dxa"/>
            </w:tcMar>
            <w:hideMark/>
          </w:tcPr>
          <w:p w:rsidR="000740F8" w:rsidRPr="000740F8" w:rsidRDefault="000740F8" w:rsidP="000740F8">
            <w:pPr>
              <w:widowControl/>
              <w:spacing w:line="300" w:lineRule="atLeast"/>
              <w:jc w:val="left"/>
              <w:rPr>
                <w:rFonts w:ascii="微软雅黑" w:eastAsia="微软雅黑" w:hAnsi="微软雅黑" w:cs="宋体"/>
                <w:color w:val="2C3E50"/>
                <w:kern w:val="0"/>
                <w:sz w:val="18"/>
                <w:szCs w:val="18"/>
              </w:rPr>
            </w:pPr>
          </w:p>
        </w:tc>
      </w:tr>
    </w:tbl>
    <w:p w:rsidR="000740F8" w:rsidRPr="000740F8" w:rsidRDefault="000740F8" w:rsidP="000740F8">
      <w:pPr>
        <w:widowControl/>
        <w:spacing w:after="240" w:line="300" w:lineRule="atLeast"/>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 </w:t>
      </w:r>
    </w:p>
    <w:p w:rsidR="000740F8" w:rsidRPr="000740F8" w:rsidRDefault="000740F8" w:rsidP="000740F8">
      <w:pPr>
        <w:widowControl/>
        <w:spacing w:after="240" w:line="300" w:lineRule="atLeast"/>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六、政府采购预算情况</w:t>
      </w:r>
    </w:p>
    <w:p w:rsidR="000740F8" w:rsidRPr="000740F8" w:rsidRDefault="000740F8" w:rsidP="000740F8">
      <w:pPr>
        <w:widowControl/>
        <w:spacing w:after="240" w:line="300" w:lineRule="atLeast"/>
        <w:ind w:firstLine="645"/>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采购项目（项目支出）通用设备，数量1套，金额7万元;车辆设备维修和保养服务，数量1，金额1.4万元，保险服务，数量1，金额0.85万元。</w:t>
      </w:r>
    </w:p>
    <w:p w:rsidR="000740F8" w:rsidRPr="000740F8" w:rsidRDefault="000740F8" w:rsidP="000740F8">
      <w:pPr>
        <w:widowControl/>
        <w:spacing w:after="240" w:line="300" w:lineRule="atLeast"/>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lastRenderedPageBreak/>
        <w:t>七、国有资产信息情况</w:t>
      </w:r>
    </w:p>
    <w:p w:rsidR="000740F8" w:rsidRPr="000740F8" w:rsidRDefault="000740F8" w:rsidP="000740F8">
      <w:pPr>
        <w:widowControl/>
        <w:spacing w:after="240" w:line="555" w:lineRule="atLeast"/>
        <w:ind w:firstLine="720"/>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2017年，我单位（含所</w:t>
      </w:r>
      <w:r w:rsidRPr="000740F8">
        <w:rPr>
          <w:rFonts w:ascii="宋体" w:eastAsia="宋体" w:hAnsi="宋体" w:cs="宋体" w:hint="eastAsia"/>
          <w:color w:val="2C3E50"/>
          <w:kern w:val="0"/>
          <w:sz w:val="32"/>
          <w:szCs w:val="32"/>
        </w:rPr>
        <w:t>属单位）</w:t>
      </w:r>
      <w:r w:rsidRPr="000740F8">
        <w:rPr>
          <w:rFonts w:ascii="仿宋_GB2312" w:eastAsia="仿宋_GB2312" w:hAnsi="微软雅黑" w:cs="宋体" w:hint="eastAsia"/>
          <w:color w:val="2C3E50"/>
          <w:kern w:val="0"/>
          <w:sz w:val="32"/>
          <w:szCs w:val="32"/>
        </w:rPr>
        <w:t>国有资产年初价值为16513.082964万元。主要是由流动资产15555.123035万元、固定资产957.959929万元、长期投资0万元、在建工程0万元、无形资产0万元、其他资产411.4604万元构成。其中：固定资产中房屋4614平方米，价值399.2140万元；汽车7辆，价值1,45.92万元；单价在20万元以上的设备1台（辆），价值66.26万元；其他固定价值0万元。本年度拟购置情况2017年，我单位政府采购支出9.25万元，其中货物类支出7万元、工程类支出0万元、服务类支出2.25万元。严格执行《政府采购法》，优先选择本地中小企业产品，支持中小企业发展。</w:t>
      </w:r>
    </w:p>
    <w:p w:rsidR="000740F8" w:rsidRPr="000740F8" w:rsidRDefault="000740F8" w:rsidP="000740F8">
      <w:pPr>
        <w:widowControl/>
        <w:spacing w:after="240" w:line="300" w:lineRule="atLeast"/>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八、专业名词解释</w:t>
      </w:r>
    </w:p>
    <w:p w:rsidR="000740F8" w:rsidRPr="000740F8" w:rsidRDefault="000740F8" w:rsidP="000740F8">
      <w:pPr>
        <w:widowControl/>
        <w:spacing w:after="240" w:line="300" w:lineRule="atLeast"/>
        <w:ind w:firstLine="645"/>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对相关专业性较强的名词进行必要解释:三公经费:指因公出国（境）费、公务用车购置及运行费和公务接待费。</w:t>
      </w:r>
    </w:p>
    <w:p w:rsidR="000740F8" w:rsidRPr="000740F8" w:rsidRDefault="000740F8" w:rsidP="000740F8">
      <w:pPr>
        <w:widowControl/>
        <w:spacing w:after="240" w:line="300" w:lineRule="atLeast"/>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lastRenderedPageBreak/>
        <w:t>九、其他需说明的事项</w:t>
      </w:r>
    </w:p>
    <w:p w:rsidR="000740F8" w:rsidRPr="000740F8" w:rsidRDefault="000740F8" w:rsidP="000740F8">
      <w:pPr>
        <w:widowControl/>
        <w:spacing w:after="240" w:line="300" w:lineRule="atLeast"/>
        <w:ind w:firstLine="645"/>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单位没有国有资本经营预算。</w:t>
      </w:r>
    </w:p>
    <w:p w:rsidR="000740F8" w:rsidRPr="000740F8" w:rsidRDefault="000740F8" w:rsidP="000740F8">
      <w:pPr>
        <w:widowControl/>
        <w:spacing w:after="240" w:line="300" w:lineRule="atLeast"/>
        <w:ind w:firstLine="645"/>
        <w:jc w:val="left"/>
        <w:rPr>
          <w:rFonts w:ascii="微软雅黑" w:eastAsia="微软雅黑" w:hAnsi="微软雅黑" w:cs="宋体" w:hint="eastAsia"/>
          <w:color w:val="2C3E50"/>
          <w:kern w:val="0"/>
          <w:sz w:val="18"/>
          <w:szCs w:val="18"/>
        </w:rPr>
      </w:pPr>
      <w:r w:rsidRPr="000740F8">
        <w:rPr>
          <w:rFonts w:ascii="仿宋_GB2312" w:eastAsia="仿宋_GB2312" w:hAnsi="微软雅黑" w:cs="宋体" w:hint="eastAsia"/>
          <w:color w:val="2C3E50"/>
          <w:kern w:val="0"/>
          <w:sz w:val="32"/>
          <w:szCs w:val="32"/>
        </w:rPr>
        <w:t> </w:t>
      </w:r>
    </w:p>
    <w:p w:rsidR="00167B7E" w:rsidRPr="000740F8" w:rsidRDefault="00167B7E"/>
    <w:sectPr w:rsidR="00167B7E" w:rsidRPr="000740F8" w:rsidSect="000740F8">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7B7E" w:rsidRDefault="00167B7E" w:rsidP="000740F8">
      <w:r>
        <w:separator/>
      </w:r>
    </w:p>
  </w:endnote>
  <w:endnote w:type="continuationSeparator" w:id="1">
    <w:p w:rsidR="00167B7E" w:rsidRDefault="00167B7E" w:rsidP="000740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7B7E" w:rsidRDefault="00167B7E" w:rsidP="000740F8">
      <w:r>
        <w:separator/>
      </w:r>
    </w:p>
  </w:footnote>
  <w:footnote w:type="continuationSeparator" w:id="1">
    <w:p w:rsidR="00167B7E" w:rsidRDefault="00167B7E" w:rsidP="000740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40F8"/>
    <w:rsid w:val="000740F8"/>
    <w:rsid w:val="00167B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40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740F8"/>
    <w:rPr>
      <w:sz w:val="18"/>
      <w:szCs w:val="18"/>
    </w:rPr>
  </w:style>
  <w:style w:type="paragraph" w:styleId="a4">
    <w:name w:val="footer"/>
    <w:basedOn w:val="a"/>
    <w:link w:val="Char0"/>
    <w:uiPriority w:val="99"/>
    <w:semiHidden/>
    <w:unhideWhenUsed/>
    <w:rsid w:val="000740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740F8"/>
    <w:rPr>
      <w:sz w:val="18"/>
      <w:szCs w:val="18"/>
    </w:rPr>
  </w:style>
  <w:style w:type="paragraph" w:styleId="a5">
    <w:name w:val="Normal (Web)"/>
    <w:basedOn w:val="a"/>
    <w:uiPriority w:val="99"/>
    <w:unhideWhenUsed/>
    <w:rsid w:val="000740F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740F8"/>
    <w:rPr>
      <w:b/>
      <w:bCs/>
    </w:rPr>
  </w:style>
  <w:style w:type="character" w:customStyle="1" w:styleId="apple-converted-space">
    <w:name w:val="apple-converted-space"/>
    <w:basedOn w:val="a0"/>
    <w:rsid w:val="000740F8"/>
  </w:style>
</w:styles>
</file>

<file path=word/webSettings.xml><?xml version="1.0" encoding="utf-8"?>
<w:webSettings xmlns:r="http://schemas.openxmlformats.org/officeDocument/2006/relationships" xmlns:w="http://schemas.openxmlformats.org/wordprocessingml/2006/main">
  <w:divs>
    <w:div w:id="9903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2017-06-09T02:07:00Z</dcterms:created>
  <dcterms:modified xsi:type="dcterms:W3CDTF">2017-06-09T02:08:00Z</dcterms:modified>
</cp:coreProperties>
</file>