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0B4" w:rsidRPr="007750B4" w:rsidRDefault="007750B4" w:rsidP="007750B4">
      <w:pPr>
        <w:widowControl/>
        <w:shd w:val="clear" w:color="auto" w:fill="FFFFFF"/>
        <w:spacing w:line="465" w:lineRule="atLeast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50B4">
        <w:rPr>
          <w:rFonts w:ascii="宋体" w:eastAsia="宋体" w:hAnsi="宋体" w:cs="宋体" w:hint="eastAsia"/>
          <w:color w:val="484747"/>
          <w:kern w:val="0"/>
          <w:sz w:val="44"/>
          <w:szCs w:val="44"/>
        </w:rPr>
        <w:t>2017年定州市卫生监督所预算公开说明</w:t>
      </w:r>
    </w:p>
    <w:p w:rsidR="007750B4" w:rsidRPr="007750B4" w:rsidRDefault="007750B4" w:rsidP="007750B4">
      <w:pPr>
        <w:widowControl/>
        <w:shd w:val="clear" w:color="auto" w:fill="FFFFFF"/>
        <w:spacing w:line="465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750B4">
        <w:rPr>
          <w:rFonts w:ascii="仿宋_GB2312" w:eastAsia="仿宋_GB2312" w:hAnsi="Calibri" w:cs="宋体" w:hint="eastAsia"/>
          <w:color w:val="484747"/>
          <w:kern w:val="0"/>
          <w:sz w:val="32"/>
          <w:szCs w:val="32"/>
        </w:rPr>
        <w:t>一、本部门职责、机构设置等基本情况</w:t>
      </w:r>
    </w:p>
    <w:p w:rsidR="007750B4" w:rsidRPr="007750B4" w:rsidRDefault="007750B4" w:rsidP="007750B4">
      <w:pPr>
        <w:widowControl/>
        <w:shd w:val="clear" w:color="auto" w:fill="FFFFFF"/>
        <w:spacing w:line="465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750B4">
        <w:rPr>
          <w:rFonts w:ascii="Calibri" w:eastAsia="仿宋_GB2312" w:hAnsi="Calibri" w:cs="宋体"/>
          <w:color w:val="484747"/>
          <w:kern w:val="0"/>
          <w:sz w:val="32"/>
          <w:szCs w:val="32"/>
        </w:rPr>
        <w:t>（一）部门职责</w:t>
      </w:r>
      <w:r w:rsidRPr="007750B4">
        <w:rPr>
          <w:rFonts w:ascii="仿宋" w:eastAsia="仿宋" w:hAnsi="仿宋" w:cs="宋体" w:hint="eastAsia"/>
          <w:color w:val="484747"/>
          <w:kern w:val="0"/>
          <w:sz w:val="32"/>
          <w:szCs w:val="32"/>
        </w:rPr>
        <w:t>：</w:t>
      </w:r>
      <w:r w:rsidRPr="007750B4">
        <w:rPr>
          <w:rFonts w:ascii="仿宋" w:eastAsia="仿宋" w:hAnsi="仿宋" w:cs="宋体" w:hint="eastAsia"/>
          <w:color w:val="333333"/>
          <w:kern w:val="0"/>
          <w:sz w:val="32"/>
          <w:szCs w:val="32"/>
          <w:shd w:val="clear" w:color="auto" w:fill="FFFFFF"/>
        </w:rPr>
        <w:t>负责实施卫生计生专项整治和日常监督检查；对公共场所卫生、生活饮用水卫生、学校卫生及消毒产品和涉及饮用水安全产品进行监督检查；对医疗机构、采供血机构及其从业人员的执业活动进行监督检查，查处违法行为；打击非法行医和非法采供血；整顿和规范医疗服务秩序；对医疗卫生机构的放射诊疗、职业健康检查和职业病诊断工作进行监督检查，查处违法行为，对医疗机构、采供血机构、疾病预防控制机构的传染病疫情报告、疫情控制措施、消毒隔离制度执行情况、医疗废物处置情况和菌（毒）种管理情况等进行监督检查，查处违法行为；对母婴保健机构、计划生育技术服务机构服务内容和从业人员的行为规范进行监督，依法打击“两非”行为，做好计划生育社会抚养费征收及违法违纪案件的督查督办；对街道卫生计生综合监督执法进行指导和督查，对监督协管员进行培训、业务指导；行政区域内卫生计生监督信息的收集、核实和上报；受理对违法行为的投诉、举报；开展卫生计生法律法规宣传教育和执法检查；完成卫生计生行政部门交办其他工作。</w:t>
      </w:r>
    </w:p>
    <w:p w:rsidR="007750B4" w:rsidRPr="007750B4" w:rsidRDefault="007750B4" w:rsidP="007750B4">
      <w:pPr>
        <w:widowControl/>
        <w:shd w:val="clear" w:color="auto" w:fill="FFFFFF"/>
        <w:spacing w:line="465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750B4">
        <w:rPr>
          <w:rFonts w:ascii="仿宋_GB2312" w:eastAsia="仿宋_GB2312" w:hAnsi="Calibri" w:cs="宋体" w:hint="eastAsia"/>
          <w:color w:val="484747"/>
          <w:kern w:val="0"/>
          <w:sz w:val="32"/>
          <w:szCs w:val="32"/>
        </w:rPr>
        <w:t>（二）机构设置等基本情况</w:t>
      </w:r>
    </w:p>
    <w:p w:rsidR="007750B4" w:rsidRPr="007750B4" w:rsidRDefault="007750B4" w:rsidP="007750B4">
      <w:pPr>
        <w:widowControl/>
        <w:shd w:val="clear" w:color="auto" w:fill="FFFFFF"/>
        <w:spacing w:line="555" w:lineRule="atLeast"/>
        <w:ind w:firstLine="79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750B4">
        <w:rPr>
          <w:rFonts w:ascii="仿宋_GB2312" w:eastAsia="仿宋_GB2312" w:hAnsi="Calibri" w:cs="宋体" w:hint="eastAsia"/>
          <w:color w:val="484747"/>
          <w:kern w:val="0"/>
          <w:sz w:val="32"/>
          <w:szCs w:val="32"/>
        </w:rPr>
        <w:lastRenderedPageBreak/>
        <w:t>定州市卫生监督所内设</w:t>
      </w:r>
      <w:r w:rsidRPr="007750B4">
        <w:rPr>
          <w:rFonts w:ascii="仿宋_GB2312" w:eastAsia="仿宋_GB2312" w:hAnsi="Calibri" w:cs="宋体" w:hint="eastAsia"/>
          <w:color w:val="333333"/>
          <w:kern w:val="0"/>
          <w:sz w:val="32"/>
          <w:szCs w:val="32"/>
        </w:rPr>
        <w:t>办公室、财务科、人事科、稽查科、卫生监督科、医疗监督科、计生监督科、公共卫生科。</w:t>
      </w:r>
      <w:r w:rsidRPr="007750B4">
        <w:rPr>
          <w:rFonts w:ascii="仿宋_GB2312" w:eastAsia="仿宋_GB2312" w:hAnsi="Calibri" w:cs="宋体" w:hint="eastAsia"/>
          <w:color w:val="484747"/>
          <w:kern w:val="0"/>
          <w:sz w:val="32"/>
          <w:szCs w:val="32"/>
        </w:rPr>
        <w:t>定州市卫生监督所是在定州市卫生局领导下的全额事业单位。1年底我单位编制10人，现有职工15人，退休19人。其中：财政拨款14人，单位自收自支1人。</w:t>
      </w:r>
    </w:p>
    <w:p w:rsidR="007750B4" w:rsidRPr="007750B4" w:rsidRDefault="007750B4" w:rsidP="007750B4">
      <w:pPr>
        <w:widowControl/>
        <w:shd w:val="clear" w:color="auto" w:fill="FFFFFF"/>
        <w:spacing w:line="555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750B4">
        <w:rPr>
          <w:rFonts w:ascii="仿宋_GB2312" w:eastAsia="仿宋_GB2312" w:hAnsi="Calibri" w:cs="宋体" w:hint="eastAsia"/>
          <w:color w:val="484747"/>
          <w:kern w:val="0"/>
          <w:sz w:val="32"/>
          <w:szCs w:val="32"/>
        </w:rPr>
        <w:t>（三）部门决算单位构成：</w:t>
      </w:r>
      <w:r w:rsidRPr="007750B4">
        <w:rPr>
          <w:rFonts w:ascii="仿宋_GB2312" w:eastAsia="仿宋_GB2312" w:hAnsi="Calibri" w:cs="宋体" w:hint="eastAsia"/>
          <w:color w:val="484747"/>
          <w:kern w:val="0"/>
          <w:sz w:val="32"/>
          <w:szCs w:val="32"/>
        </w:rPr>
        <w:t> </w:t>
      </w:r>
      <w:r w:rsidRPr="007750B4">
        <w:rPr>
          <w:rFonts w:ascii="仿宋_GB2312" w:eastAsia="仿宋_GB2312" w:hAnsi="Calibri" w:cs="宋体" w:hint="eastAsia"/>
          <w:color w:val="484747"/>
          <w:kern w:val="0"/>
          <w:sz w:val="32"/>
          <w:szCs w:val="32"/>
        </w:rPr>
        <w:t>定州市卫生监督所。</w:t>
      </w:r>
    </w:p>
    <w:p w:rsidR="007750B4" w:rsidRPr="007750B4" w:rsidRDefault="007750B4" w:rsidP="007750B4">
      <w:pPr>
        <w:widowControl/>
        <w:shd w:val="clear" w:color="auto" w:fill="FFFFFF"/>
        <w:spacing w:line="465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750B4">
        <w:rPr>
          <w:rFonts w:ascii="仿宋_GB2312" w:eastAsia="仿宋_GB2312" w:hAnsi="Calibri" w:cs="宋体" w:hint="eastAsia"/>
          <w:color w:val="484747"/>
          <w:kern w:val="0"/>
          <w:sz w:val="32"/>
          <w:szCs w:val="32"/>
        </w:rPr>
        <w:t>二、绩效预算信息</w:t>
      </w:r>
    </w:p>
    <w:tbl>
      <w:tblPr>
        <w:tblW w:w="1318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7"/>
        <w:gridCol w:w="1431"/>
        <w:gridCol w:w="1958"/>
        <w:gridCol w:w="2232"/>
        <w:gridCol w:w="2095"/>
        <w:gridCol w:w="730"/>
        <w:gridCol w:w="730"/>
        <w:gridCol w:w="730"/>
        <w:gridCol w:w="1162"/>
      </w:tblGrid>
      <w:tr w:rsidR="007750B4" w:rsidRPr="007750B4" w:rsidTr="007750B4">
        <w:trPr>
          <w:trHeight w:val="225"/>
          <w:tblCellSpacing w:w="15" w:type="dxa"/>
        </w:trPr>
        <w:tc>
          <w:tcPr>
            <w:tcW w:w="13185" w:type="dxa"/>
            <w:gridSpan w:val="9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小标宋_GBK" w:eastAsia="方正小标宋_GBK" w:hAnsi="Calibri" w:cs="宋体" w:hint="eastAsia"/>
                <w:color w:val="000000"/>
                <w:kern w:val="0"/>
                <w:sz w:val="24"/>
                <w:szCs w:val="24"/>
              </w:rPr>
              <w:t>361卫生</w:t>
            </w:r>
          </w:p>
        </w:tc>
      </w:tr>
      <w:tr w:rsidR="007750B4" w:rsidRPr="007750B4" w:rsidTr="007750B4">
        <w:trPr>
          <w:trHeight w:val="225"/>
          <w:tblCellSpacing w:w="15" w:type="dxa"/>
        </w:trPr>
        <w:tc>
          <w:tcPr>
            <w:tcW w:w="213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b/>
                <w:bCs/>
                <w:color w:val="000000"/>
                <w:kern w:val="0"/>
                <w:sz w:val="24"/>
                <w:szCs w:val="24"/>
              </w:rPr>
              <w:t>职责活动</w:t>
            </w:r>
          </w:p>
        </w:tc>
        <w:tc>
          <w:tcPr>
            <w:tcW w:w="142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b/>
                <w:bCs/>
                <w:color w:val="000000"/>
                <w:kern w:val="0"/>
                <w:sz w:val="24"/>
                <w:szCs w:val="24"/>
              </w:rPr>
              <w:t>年度预算数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b/>
                <w:bCs/>
                <w:color w:val="000000"/>
                <w:kern w:val="0"/>
                <w:sz w:val="24"/>
                <w:szCs w:val="24"/>
              </w:rPr>
              <w:t>内容描述</w:t>
            </w:r>
          </w:p>
        </w:tc>
        <w:tc>
          <w:tcPr>
            <w:tcW w:w="226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b/>
                <w:bCs/>
                <w:color w:val="000000"/>
                <w:kern w:val="0"/>
                <w:sz w:val="24"/>
                <w:szCs w:val="24"/>
              </w:rPr>
              <w:t>绩效目标</w:t>
            </w:r>
          </w:p>
        </w:tc>
        <w:tc>
          <w:tcPr>
            <w:tcW w:w="213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b/>
                <w:bCs/>
                <w:color w:val="000000"/>
                <w:kern w:val="0"/>
                <w:sz w:val="24"/>
                <w:szCs w:val="24"/>
              </w:rPr>
              <w:t>绩效指标</w:t>
            </w:r>
          </w:p>
        </w:tc>
        <w:tc>
          <w:tcPr>
            <w:tcW w:w="3255" w:type="dxa"/>
            <w:gridSpan w:val="4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b/>
                <w:bCs/>
                <w:color w:val="000000"/>
                <w:kern w:val="0"/>
                <w:sz w:val="24"/>
                <w:szCs w:val="24"/>
              </w:rPr>
              <w:t>评价标准</w:t>
            </w:r>
          </w:p>
        </w:tc>
      </w:tr>
      <w:tr w:rsidR="007750B4" w:rsidRPr="007750B4" w:rsidTr="007750B4">
        <w:trPr>
          <w:trHeight w:val="345"/>
          <w:tblCellSpacing w:w="15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750B4" w:rsidRPr="007750B4" w:rsidRDefault="007750B4" w:rsidP="00775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750B4" w:rsidRPr="007750B4" w:rsidRDefault="007750B4" w:rsidP="00775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750B4" w:rsidRPr="007750B4" w:rsidRDefault="007750B4" w:rsidP="00775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750B4" w:rsidRPr="007750B4" w:rsidRDefault="007750B4" w:rsidP="00775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750B4" w:rsidRPr="007750B4" w:rsidRDefault="007750B4" w:rsidP="00775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b/>
                <w:bCs/>
                <w:color w:val="000000"/>
                <w:kern w:val="0"/>
                <w:sz w:val="24"/>
                <w:szCs w:val="24"/>
              </w:rPr>
              <w:t>优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b/>
                <w:bCs/>
                <w:color w:val="000000"/>
                <w:kern w:val="0"/>
                <w:sz w:val="24"/>
                <w:szCs w:val="24"/>
              </w:rPr>
              <w:t>良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b/>
                <w:bCs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b/>
                <w:bCs/>
                <w:color w:val="000000"/>
                <w:kern w:val="0"/>
                <w:sz w:val="24"/>
                <w:szCs w:val="24"/>
              </w:rPr>
              <w:t>差</w:t>
            </w:r>
          </w:p>
        </w:tc>
      </w:tr>
      <w:tr w:rsidR="007750B4" w:rsidRPr="007750B4" w:rsidTr="007750B4">
        <w:trPr>
          <w:trHeight w:val="225"/>
          <w:tblCellSpacing w:w="15" w:type="dxa"/>
        </w:trPr>
        <w:tc>
          <w:tcPr>
            <w:tcW w:w="21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饮用水卫生监测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35.00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开展生活饮用水监督及培训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水质监督达标，保障全市饮用水安全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水质监督达标率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95%以上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80%以上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70%以上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50%以下</w:t>
            </w:r>
          </w:p>
        </w:tc>
      </w:tr>
      <w:tr w:rsidR="007750B4" w:rsidRPr="007750B4" w:rsidTr="007750B4">
        <w:trPr>
          <w:trHeight w:val="225"/>
          <w:tblCellSpacing w:w="15" w:type="dxa"/>
        </w:trPr>
        <w:tc>
          <w:tcPr>
            <w:tcW w:w="21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　</w:t>
            </w: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学校卫生监测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15.00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开展学校卫生监督及培训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促进学校公共卫生达标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学校公共卫生达标率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90%以上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80%以上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70%以上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50%以下</w:t>
            </w:r>
          </w:p>
        </w:tc>
      </w:tr>
      <w:tr w:rsidR="007750B4" w:rsidRPr="007750B4" w:rsidTr="007750B4">
        <w:trPr>
          <w:trHeight w:val="225"/>
          <w:tblCellSpacing w:w="15" w:type="dxa"/>
        </w:trPr>
        <w:tc>
          <w:tcPr>
            <w:tcW w:w="21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b/>
                <w:bCs/>
                <w:color w:val="000000"/>
                <w:kern w:val="0"/>
                <w:sz w:val="24"/>
                <w:szCs w:val="24"/>
              </w:rPr>
              <w:t>    </w:t>
            </w: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协管人员培训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38.00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对监督协管员进行培训、业务指导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指导规范卫生行政执法工作。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协管人员培训覆盖率</w:t>
            </w: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90%以上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80%以上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70%以上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50%以下</w:t>
            </w:r>
          </w:p>
        </w:tc>
      </w:tr>
      <w:tr w:rsidR="007750B4" w:rsidRPr="007750B4" w:rsidTr="007750B4">
        <w:trPr>
          <w:trHeight w:val="225"/>
          <w:tblCellSpacing w:w="15" w:type="dxa"/>
        </w:trPr>
        <w:tc>
          <w:tcPr>
            <w:tcW w:w="2130" w:type="dxa"/>
            <w:tcBorders>
              <w:top w:val="nil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    </w:t>
            </w: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超生举报监督</w:t>
            </w: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lastRenderedPageBreak/>
              <w:t>检查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lastRenderedPageBreak/>
              <w:t>22.00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对母婴保健机</w:t>
            </w: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lastRenderedPageBreak/>
              <w:t>构、计划生育技术服务机构服务内容和从业人员的行为规范进行监督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lastRenderedPageBreak/>
              <w:t>做好计划生育社会</w:t>
            </w: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lastRenderedPageBreak/>
              <w:t>抚养费征收及违法违纪案件的督查督办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lastRenderedPageBreak/>
              <w:t>超生举报案件处</w:t>
            </w: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lastRenderedPageBreak/>
              <w:t>理率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lastRenderedPageBreak/>
              <w:t>90%</w:t>
            </w: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lastRenderedPageBreak/>
              <w:t>以上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lastRenderedPageBreak/>
              <w:t>80%</w:t>
            </w: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lastRenderedPageBreak/>
              <w:t>以上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lastRenderedPageBreak/>
              <w:t>70%</w:t>
            </w: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lastRenderedPageBreak/>
              <w:t>以上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lastRenderedPageBreak/>
              <w:t>50%以下</w:t>
            </w:r>
          </w:p>
        </w:tc>
      </w:tr>
      <w:tr w:rsidR="007750B4" w:rsidRPr="007750B4" w:rsidTr="007750B4">
        <w:trPr>
          <w:trHeight w:val="1215"/>
          <w:tblCellSpacing w:w="15" w:type="dxa"/>
        </w:trPr>
        <w:tc>
          <w:tcPr>
            <w:tcW w:w="2130" w:type="dxa"/>
            <w:tcBorders>
              <w:top w:val="nil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lastRenderedPageBreak/>
              <w:t>突发公共卫生应急处理经费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13.00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公共卫生紧急情况处理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有效处理公共卫生紧急情况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突发公共卫生应急处理率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90%以上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80%以上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70%以上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50%以下</w:t>
            </w:r>
          </w:p>
        </w:tc>
      </w:tr>
      <w:tr w:rsidR="007750B4" w:rsidRPr="007750B4" w:rsidTr="007750B4">
        <w:trPr>
          <w:trHeight w:val="1215"/>
          <w:tblCellSpacing w:w="15" w:type="dxa"/>
        </w:trPr>
        <w:tc>
          <w:tcPr>
            <w:tcW w:w="2130" w:type="dxa"/>
            <w:tcBorders>
              <w:top w:val="nil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执法人员服装购置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14.00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执法人员服装购置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750B4" w:rsidRPr="007750B4" w:rsidTr="007750B4">
        <w:trPr>
          <w:trHeight w:val="1215"/>
          <w:tblCellSpacing w:w="15" w:type="dxa"/>
        </w:trPr>
        <w:tc>
          <w:tcPr>
            <w:tcW w:w="2130" w:type="dxa"/>
            <w:tcBorders>
              <w:top w:val="nil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办公新址设计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8.00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办公地址房屋设计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750B4" w:rsidRPr="007750B4" w:rsidTr="007750B4">
        <w:trPr>
          <w:trHeight w:val="1215"/>
          <w:tblCellSpacing w:w="15" w:type="dxa"/>
        </w:trPr>
        <w:tc>
          <w:tcPr>
            <w:tcW w:w="21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办公场所搬迁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13.00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50B4">
              <w:rPr>
                <w:rFonts w:ascii="方正书宋_GBK" w:eastAsia="方正书宋_GBK" w:hAnsi="Calibri" w:cs="宋体" w:hint="eastAsia"/>
                <w:color w:val="000000"/>
                <w:kern w:val="0"/>
                <w:sz w:val="24"/>
                <w:szCs w:val="24"/>
              </w:rPr>
              <w:t>用于卫计部门合并办公场所搬迁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750B4" w:rsidRPr="007750B4" w:rsidRDefault="007750B4" w:rsidP="007750B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7750B4" w:rsidRPr="007750B4" w:rsidRDefault="007750B4" w:rsidP="007750B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750B4">
        <w:rPr>
          <w:rFonts w:ascii="方正书宋_GBK" w:eastAsia="方正书宋_GBK" w:hAnsi="Calibri" w:cs="宋体" w:hint="eastAsia"/>
          <w:color w:val="000000"/>
          <w:kern w:val="0"/>
          <w:sz w:val="24"/>
          <w:szCs w:val="24"/>
        </w:rPr>
        <w:t> </w:t>
      </w:r>
    </w:p>
    <w:p w:rsidR="007750B4" w:rsidRPr="007750B4" w:rsidRDefault="007750B4" w:rsidP="007750B4">
      <w:pPr>
        <w:widowControl/>
        <w:shd w:val="clear" w:color="auto" w:fill="FFFFFF"/>
        <w:spacing w:line="465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750B4">
        <w:rPr>
          <w:rFonts w:ascii="仿宋_GB2312" w:eastAsia="仿宋_GB2312" w:hAnsi="Calibri" w:cs="宋体" w:hint="eastAsia"/>
          <w:color w:val="484747"/>
          <w:kern w:val="0"/>
          <w:sz w:val="32"/>
          <w:szCs w:val="32"/>
        </w:rPr>
        <w:t>三、收支总体情况</w:t>
      </w:r>
    </w:p>
    <w:p w:rsidR="007750B4" w:rsidRPr="007750B4" w:rsidRDefault="007750B4" w:rsidP="007750B4">
      <w:pPr>
        <w:widowControl/>
        <w:shd w:val="clear" w:color="auto" w:fill="FFFFFF"/>
        <w:spacing w:line="465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750B4">
        <w:rPr>
          <w:rFonts w:ascii="仿宋_GB2312" w:eastAsia="仿宋_GB2312" w:hAnsi="Calibri" w:cs="宋体" w:hint="eastAsia"/>
          <w:color w:val="484747"/>
          <w:kern w:val="0"/>
          <w:sz w:val="32"/>
          <w:szCs w:val="32"/>
        </w:rPr>
        <w:lastRenderedPageBreak/>
        <w:t>我部门本年收入289.61万元，其中：财政拨款289.61万元；上级补助收入0万元；事业收入0万元；经营收入0万元；附属单位上解收入0万元，其他收入0万元。上年结转0万元。安排支出289.61万元 ，其中：基本支出131.61万元；项目支出158万元；上缴上级支出0万元；经营支出0万元；对附属单位补助支出0万元。</w:t>
      </w:r>
    </w:p>
    <w:p w:rsidR="007750B4" w:rsidRPr="007750B4" w:rsidRDefault="007750B4" w:rsidP="007750B4">
      <w:pPr>
        <w:widowControl/>
        <w:shd w:val="clear" w:color="auto" w:fill="FFFFFF"/>
        <w:spacing w:line="465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750B4">
        <w:rPr>
          <w:rFonts w:ascii="仿宋_GB2312" w:eastAsia="仿宋_GB2312" w:hAnsi="Calibri" w:cs="宋体" w:hint="eastAsia"/>
          <w:color w:val="484747"/>
          <w:kern w:val="0"/>
          <w:sz w:val="32"/>
          <w:szCs w:val="32"/>
        </w:rPr>
        <w:t>四、机关运行经费安排情况</w:t>
      </w:r>
    </w:p>
    <w:p w:rsidR="007750B4" w:rsidRPr="007750B4" w:rsidRDefault="007750B4" w:rsidP="007750B4">
      <w:pPr>
        <w:widowControl/>
        <w:shd w:val="clear" w:color="auto" w:fill="FFFFFF"/>
        <w:spacing w:line="465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750B4">
        <w:rPr>
          <w:rFonts w:ascii="仿宋_GB2312" w:eastAsia="仿宋_GB2312" w:hAnsi="Calibri" w:cs="宋体" w:hint="eastAsia"/>
          <w:color w:val="000000"/>
          <w:kern w:val="0"/>
          <w:sz w:val="32"/>
          <w:szCs w:val="32"/>
        </w:rPr>
        <w:t>我部门安排机关运行经费7.75万元，其中：办公及印刷费0.58万元、邮电费1.15万元、差旅费0.72万元、会议费0万元、公会经费0.77万元、福利费1.02万元、日常维修费0万元、专用材料及一般设备购置费0万元、办公用房水电费1.71万元、办公用房取暖0万元、办公用房物业管理费0万元、公务用车运行维护费及其他费用1.8万元。</w:t>
      </w:r>
    </w:p>
    <w:p w:rsidR="007750B4" w:rsidRPr="007750B4" w:rsidRDefault="007750B4" w:rsidP="007750B4">
      <w:pPr>
        <w:widowControl/>
        <w:shd w:val="clear" w:color="auto" w:fill="FFFFFF"/>
        <w:spacing w:line="465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750B4">
        <w:rPr>
          <w:rFonts w:ascii="仿宋_GB2312" w:eastAsia="仿宋_GB2312" w:hAnsi="Calibri" w:cs="宋体" w:hint="eastAsia"/>
          <w:color w:val="484747"/>
          <w:kern w:val="0"/>
          <w:sz w:val="32"/>
          <w:szCs w:val="32"/>
        </w:rPr>
        <w:t>五、“三公”经费安排情况</w:t>
      </w:r>
    </w:p>
    <w:p w:rsidR="007750B4" w:rsidRPr="007750B4" w:rsidRDefault="007750B4" w:rsidP="007750B4">
      <w:pPr>
        <w:widowControl/>
        <w:shd w:val="clear" w:color="auto" w:fill="FFFFFF"/>
        <w:spacing w:line="465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750B4">
        <w:rPr>
          <w:rFonts w:ascii="仿宋_GB2312" w:eastAsia="仿宋_GB2312" w:hAnsi="Calibri" w:cs="宋体" w:hint="eastAsia"/>
          <w:color w:val="484747"/>
          <w:kern w:val="0"/>
          <w:sz w:val="32"/>
          <w:szCs w:val="32"/>
        </w:rPr>
        <w:t>因公出国（境）费安排0万元。公务用车购置及运行费1.8万元，其中：公务用车购置费0</w:t>
      </w:r>
      <w:r w:rsidRPr="007750B4">
        <w:rPr>
          <w:rFonts w:ascii="仿宋_GB2312" w:eastAsia="仿宋_GB2312" w:hAnsi="Calibri" w:cs="宋体" w:hint="eastAsia"/>
          <w:color w:val="484747"/>
          <w:kern w:val="0"/>
          <w:sz w:val="32"/>
          <w:szCs w:val="32"/>
        </w:rPr>
        <w:t> </w:t>
      </w:r>
      <w:r w:rsidRPr="007750B4">
        <w:rPr>
          <w:rFonts w:ascii="Calibri" w:eastAsia="仿宋_GB2312" w:hAnsi="Calibri" w:cs="宋体"/>
          <w:color w:val="484747"/>
          <w:kern w:val="0"/>
          <w:sz w:val="32"/>
          <w:szCs w:val="32"/>
        </w:rPr>
        <w:t>万元、公务用车运行费</w:t>
      </w:r>
      <w:r w:rsidRPr="007750B4">
        <w:rPr>
          <w:rFonts w:ascii="Calibri" w:eastAsia="仿宋_GB2312" w:hAnsi="Calibri" w:cs="宋体"/>
          <w:color w:val="484747"/>
          <w:kern w:val="0"/>
          <w:sz w:val="32"/>
          <w:szCs w:val="32"/>
        </w:rPr>
        <w:t>  1.8</w:t>
      </w:r>
      <w:r w:rsidRPr="007750B4">
        <w:rPr>
          <w:rFonts w:ascii="Calibri" w:eastAsia="仿宋_GB2312" w:hAnsi="Calibri" w:cs="宋体"/>
          <w:color w:val="484747"/>
          <w:kern w:val="0"/>
          <w:sz w:val="32"/>
          <w:szCs w:val="32"/>
        </w:rPr>
        <w:t>万元。公务接待费</w:t>
      </w:r>
      <w:r w:rsidRPr="007750B4">
        <w:rPr>
          <w:rFonts w:ascii="Calibri" w:eastAsia="仿宋_GB2312" w:hAnsi="Calibri" w:cs="宋体"/>
          <w:color w:val="484747"/>
          <w:kern w:val="0"/>
          <w:sz w:val="32"/>
          <w:szCs w:val="32"/>
        </w:rPr>
        <w:t>0</w:t>
      </w:r>
      <w:r w:rsidRPr="007750B4">
        <w:rPr>
          <w:rFonts w:ascii="Calibri" w:eastAsia="仿宋_GB2312" w:hAnsi="Calibri" w:cs="宋体"/>
          <w:color w:val="484747"/>
          <w:kern w:val="0"/>
          <w:sz w:val="32"/>
          <w:szCs w:val="32"/>
        </w:rPr>
        <w:t>万元。我单位严格执行中央八项规定，厉行节约。</w:t>
      </w:r>
      <w:r w:rsidRPr="007750B4">
        <w:rPr>
          <w:rFonts w:ascii="Verdana" w:eastAsia="仿宋_GB2312" w:hAnsi="Verdana" w:cs="宋体"/>
          <w:color w:val="484747"/>
          <w:kern w:val="0"/>
          <w:sz w:val="32"/>
          <w:szCs w:val="32"/>
        </w:rPr>
        <w:t>        </w:t>
      </w:r>
    </w:p>
    <w:p w:rsidR="007750B4" w:rsidRPr="007750B4" w:rsidRDefault="007750B4" w:rsidP="007750B4">
      <w:pPr>
        <w:widowControl/>
        <w:shd w:val="clear" w:color="auto" w:fill="FFFFFF"/>
        <w:spacing w:line="465" w:lineRule="atLeast"/>
        <w:ind w:firstLine="63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750B4">
        <w:rPr>
          <w:rFonts w:ascii="仿宋_GB2312" w:eastAsia="仿宋_GB2312" w:hAnsi="Calibri" w:cs="宋体" w:hint="eastAsia"/>
          <w:color w:val="484747"/>
          <w:kern w:val="0"/>
          <w:sz w:val="32"/>
          <w:szCs w:val="32"/>
        </w:rPr>
        <w:t>六、政府采购预算情况</w:t>
      </w:r>
    </w:p>
    <w:p w:rsidR="007750B4" w:rsidRPr="007750B4" w:rsidRDefault="007750B4" w:rsidP="007750B4">
      <w:pPr>
        <w:widowControl/>
        <w:shd w:val="clear" w:color="auto" w:fill="FFFFFF"/>
        <w:spacing w:line="465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750B4">
        <w:rPr>
          <w:rFonts w:ascii="仿宋_GB2312" w:eastAsia="仿宋_GB2312" w:hAnsi="Calibri" w:cs="宋体" w:hint="eastAsia"/>
          <w:color w:val="484747"/>
          <w:kern w:val="0"/>
          <w:sz w:val="32"/>
          <w:szCs w:val="32"/>
        </w:rPr>
        <w:lastRenderedPageBreak/>
        <w:t>2017年车辆设备维修和保养服务采购数量1辆车，每辆车1.8万元，共计1.8万元。主要用于汽车燃油、保险、维修相关费用。</w:t>
      </w:r>
    </w:p>
    <w:p w:rsidR="007750B4" w:rsidRPr="007750B4" w:rsidRDefault="007750B4" w:rsidP="007750B4">
      <w:pPr>
        <w:widowControl/>
        <w:shd w:val="clear" w:color="auto" w:fill="FFFFFF"/>
        <w:spacing w:line="465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750B4">
        <w:rPr>
          <w:rFonts w:ascii="仿宋_GB2312" w:eastAsia="仿宋_GB2312" w:hAnsi="Calibri" w:cs="宋体" w:hint="eastAsia"/>
          <w:color w:val="484747"/>
          <w:kern w:val="0"/>
          <w:sz w:val="32"/>
          <w:szCs w:val="32"/>
        </w:rPr>
        <w:t>七、国有资产信息</w:t>
      </w:r>
    </w:p>
    <w:p w:rsidR="007750B4" w:rsidRPr="007750B4" w:rsidRDefault="007750B4" w:rsidP="007750B4">
      <w:pPr>
        <w:widowControl/>
        <w:shd w:val="clear" w:color="auto" w:fill="FFFFFF"/>
        <w:spacing w:line="555" w:lineRule="atLeast"/>
        <w:ind w:firstLine="7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750B4">
        <w:rPr>
          <w:rFonts w:ascii="Calibri" w:eastAsia="仿宋_GB2312" w:hAnsi="Calibri" w:cs="宋体"/>
          <w:color w:val="484747"/>
          <w:kern w:val="0"/>
          <w:sz w:val="32"/>
          <w:szCs w:val="32"/>
        </w:rPr>
        <w:t>我单位（含所</w:t>
      </w:r>
      <w:r w:rsidRPr="007750B4">
        <w:rPr>
          <w:rFonts w:ascii="宋体" w:eastAsia="宋体" w:hAnsi="宋体" w:cs="宋体" w:hint="eastAsia"/>
          <w:color w:val="484747"/>
          <w:kern w:val="0"/>
          <w:sz w:val="32"/>
          <w:szCs w:val="32"/>
        </w:rPr>
        <w:t>属单位）</w:t>
      </w:r>
      <w:r w:rsidRPr="007750B4">
        <w:rPr>
          <w:rFonts w:ascii="仿宋_GB2312" w:eastAsia="仿宋_GB2312" w:hAnsi="Calibri" w:cs="宋体" w:hint="eastAsia"/>
          <w:color w:val="484747"/>
          <w:kern w:val="0"/>
          <w:sz w:val="32"/>
          <w:szCs w:val="32"/>
        </w:rPr>
        <w:t>国有资产价值为186.96万元。主要是由流动资产45.56万元、固定资产141.4万元、长期投资0万元、在建工程0万元、无形资产0万元、其他资产0万元构成。其中：固定资产中房屋0平方米，价值0万元；汽车1辆，价值19.14万元；单价在20万元以上的设备0台（辆），价值0万元；其他固定价值122.26万元。</w:t>
      </w:r>
    </w:p>
    <w:p w:rsidR="007750B4" w:rsidRPr="007750B4" w:rsidRDefault="007750B4" w:rsidP="007750B4">
      <w:pPr>
        <w:widowControl/>
        <w:shd w:val="clear" w:color="auto" w:fill="FFFFFF"/>
        <w:spacing w:line="465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750B4">
        <w:rPr>
          <w:rFonts w:ascii="仿宋_GB2312" w:eastAsia="仿宋_GB2312" w:hAnsi="Calibri" w:cs="宋体" w:hint="eastAsia"/>
          <w:color w:val="484747"/>
          <w:kern w:val="0"/>
          <w:sz w:val="32"/>
          <w:szCs w:val="32"/>
        </w:rPr>
        <w:t>八、名词解释</w:t>
      </w:r>
    </w:p>
    <w:p w:rsidR="007750B4" w:rsidRPr="007750B4" w:rsidRDefault="007750B4" w:rsidP="007750B4">
      <w:pPr>
        <w:widowControl/>
        <w:shd w:val="clear" w:color="auto" w:fill="FFFFFF"/>
        <w:spacing w:line="465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750B4">
        <w:rPr>
          <w:rFonts w:ascii="Calibri" w:eastAsia="仿宋_GB2312" w:hAnsi="Calibri" w:cs="宋体"/>
          <w:color w:val="484747"/>
          <w:kern w:val="0"/>
          <w:sz w:val="32"/>
          <w:szCs w:val="32"/>
        </w:rPr>
        <w:t> </w:t>
      </w:r>
      <w:r w:rsidRPr="007750B4">
        <w:rPr>
          <w:rFonts w:ascii="Calibri" w:eastAsia="仿宋_GB2312" w:hAnsi="Calibri" w:cs="宋体"/>
          <w:color w:val="484747"/>
          <w:kern w:val="0"/>
          <w:sz w:val="32"/>
          <w:szCs w:val="32"/>
        </w:rPr>
        <w:t>三公经费</w:t>
      </w:r>
      <w:r w:rsidRPr="007750B4">
        <w:rPr>
          <w:rFonts w:ascii="Verdana" w:eastAsia="宋体" w:hAnsi="Verdana" w:cs="宋体"/>
          <w:color w:val="484747"/>
          <w:kern w:val="0"/>
          <w:sz w:val="32"/>
          <w:szCs w:val="32"/>
        </w:rPr>
        <w:t>”</w:t>
      </w:r>
      <w:r w:rsidRPr="007750B4">
        <w:rPr>
          <w:rFonts w:ascii="仿宋_GB2312" w:eastAsia="仿宋_GB2312" w:hAnsi="Calibri" w:cs="宋体" w:hint="eastAsia"/>
          <w:color w:val="484747"/>
          <w:kern w:val="0"/>
          <w:sz w:val="32"/>
          <w:szCs w:val="32"/>
        </w:rPr>
        <w:t>指因公出国（境）费、公务用车购置及运行费和公务接待费。</w:t>
      </w:r>
    </w:p>
    <w:p w:rsidR="007750B4" w:rsidRPr="007750B4" w:rsidRDefault="007750B4" w:rsidP="007750B4">
      <w:pPr>
        <w:widowControl/>
        <w:shd w:val="clear" w:color="auto" w:fill="FFFFFF"/>
        <w:spacing w:line="465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750B4">
        <w:rPr>
          <w:rFonts w:ascii="仿宋_GB2312" w:eastAsia="仿宋_GB2312" w:hAnsi="Calibri" w:cs="宋体" w:hint="eastAsia"/>
          <w:color w:val="484747"/>
          <w:kern w:val="0"/>
          <w:sz w:val="32"/>
          <w:szCs w:val="32"/>
        </w:rPr>
        <w:t>九、其他需说明的事项</w:t>
      </w:r>
    </w:p>
    <w:p w:rsidR="007750B4" w:rsidRPr="007750B4" w:rsidRDefault="007750B4" w:rsidP="007750B4">
      <w:pPr>
        <w:widowControl/>
        <w:shd w:val="clear" w:color="auto" w:fill="FFFFFF"/>
        <w:spacing w:line="465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750B4">
        <w:rPr>
          <w:rFonts w:ascii="仿宋_GB2312" w:eastAsia="仿宋_GB2312" w:hAnsi="Calibri" w:cs="宋体" w:hint="eastAsia"/>
          <w:color w:val="484747"/>
          <w:kern w:val="0"/>
          <w:sz w:val="32"/>
          <w:szCs w:val="32"/>
        </w:rPr>
        <w:t>我单位无政府性基金预算和国有资本经营预算。</w:t>
      </w:r>
    </w:p>
    <w:p w:rsidR="006C710C" w:rsidRPr="007750B4" w:rsidRDefault="006C710C"/>
    <w:sectPr w:rsidR="006C710C" w:rsidRPr="007750B4" w:rsidSect="007750B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10C" w:rsidRDefault="006C710C" w:rsidP="007750B4">
      <w:r>
        <w:separator/>
      </w:r>
    </w:p>
  </w:endnote>
  <w:endnote w:type="continuationSeparator" w:id="1">
    <w:p w:rsidR="006C710C" w:rsidRDefault="006C710C" w:rsidP="00775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书宋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10C" w:rsidRDefault="006C710C" w:rsidP="007750B4">
      <w:r>
        <w:separator/>
      </w:r>
    </w:p>
  </w:footnote>
  <w:footnote w:type="continuationSeparator" w:id="1">
    <w:p w:rsidR="006C710C" w:rsidRDefault="006C710C" w:rsidP="007750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0B4"/>
    <w:rsid w:val="006C710C"/>
    <w:rsid w:val="00775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5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50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5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50B4"/>
    <w:rPr>
      <w:sz w:val="18"/>
      <w:szCs w:val="18"/>
    </w:rPr>
  </w:style>
  <w:style w:type="paragraph" w:styleId="a5">
    <w:name w:val="Normal (Web)"/>
    <w:basedOn w:val="a"/>
    <w:uiPriority w:val="99"/>
    <w:unhideWhenUsed/>
    <w:rsid w:val="007750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750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3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2017-06-16T07:18:00Z</dcterms:created>
  <dcterms:modified xsi:type="dcterms:W3CDTF">2017-06-16T07:18:00Z</dcterms:modified>
</cp:coreProperties>
</file>