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2D" w:rsidRPr="00210DD3" w:rsidRDefault="00BB222D" w:rsidP="00BB222D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b/>
          <w:color w:val="2C3E50"/>
          <w:kern w:val="0"/>
          <w:sz w:val="18"/>
          <w:szCs w:val="18"/>
        </w:rPr>
      </w:pPr>
      <w:r w:rsidRPr="00210DD3">
        <w:rPr>
          <w:rFonts w:ascii="宋体" w:eastAsia="宋体" w:hAnsi="宋体" w:cs="宋体" w:hint="eastAsia"/>
          <w:b/>
          <w:color w:val="2C3E50"/>
          <w:kern w:val="0"/>
          <w:sz w:val="44"/>
          <w:szCs w:val="44"/>
        </w:rPr>
        <w:t>2017年共青团定州市委预算公开说明</w:t>
      </w:r>
    </w:p>
    <w:p w:rsidR="00BB222D" w:rsidRPr="00BB222D" w:rsidRDefault="00BB222D" w:rsidP="00BB222D">
      <w:pPr>
        <w:widowControl/>
        <w:spacing w:after="240" w:line="300" w:lineRule="atLeast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BB222D"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  <w:t> </w:t>
      </w:r>
    </w:p>
    <w:p w:rsidR="00BB222D" w:rsidRPr="009A46E7" w:rsidRDefault="00BB222D" w:rsidP="00260E92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</w:pPr>
      <w:r w:rsidRPr="009A46E7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一、本部门职责、机构设置等基本情况</w:t>
      </w:r>
    </w:p>
    <w:p w:rsidR="00BB222D" w:rsidRPr="003F7224" w:rsidRDefault="00BB222D" w:rsidP="00260E92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</w:pPr>
      <w:r w:rsidRPr="00210DD3">
        <w:rPr>
          <w:rFonts w:ascii="Times New Roman" w:eastAsia="仿宋_GB2312" w:hAnsi="Times New Roman" w:cs="Times New Roman" w:hint="eastAsia"/>
          <w:color w:val="2C3E50"/>
          <w:kern w:val="0"/>
          <w:sz w:val="32"/>
          <w:szCs w:val="32"/>
        </w:rPr>
        <w:t>  </w:t>
      </w:r>
      <w:r w:rsidRPr="003F7224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部门主要职责：</w:t>
      </w:r>
    </w:p>
    <w:p w:rsidR="00BB222D" w:rsidRPr="00210DD3" w:rsidRDefault="00BB222D" w:rsidP="00260E92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210DD3">
        <w:rPr>
          <w:rFonts w:ascii="仿宋_GB2312" w:eastAsia="仿宋_GB2312" w:hAnsi="宋体" w:cs="宋体" w:hint="eastAsia"/>
          <w:color w:val="2C3E50"/>
          <w:kern w:val="0"/>
          <w:sz w:val="32"/>
          <w:szCs w:val="32"/>
        </w:rPr>
        <w:t>1.组织建设和宣传教育</w:t>
      </w:r>
    </w:p>
    <w:p w:rsidR="00BB222D" w:rsidRPr="00210DD3" w:rsidRDefault="00BB222D" w:rsidP="00260E92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210DD3">
        <w:rPr>
          <w:rFonts w:ascii="仿宋_GB2312" w:eastAsia="仿宋_GB2312" w:hAnsi="宋体" w:cs="宋体" w:hint="eastAsia"/>
          <w:color w:val="2C3E50"/>
          <w:kern w:val="0"/>
          <w:sz w:val="32"/>
          <w:szCs w:val="32"/>
        </w:rPr>
        <w:t>2.服务引导青少年工作</w:t>
      </w:r>
    </w:p>
    <w:p w:rsidR="00BB222D" w:rsidRPr="00210DD3" w:rsidRDefault="00BB222D" w:rsidP="00260E92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210DD3">
        <w:rPr>
          <w:rFonts w:ascii="仿宋_GB2312" w:eastAsia="仿宋_GB2312" w:hAnsi="宋体" w:cs="宋体" w:hint="eastAsia"/>
          <w:color w:val="2C3E50"/>
          <w:kern w:val="0"/>
          <w:sz w:val="32"/>
          <w:szCs w:val="32"/>
        </w:rPr>
        <w:t>3.维护青少年权益工作</w:t>
      </w:r>
    </w:p>
    <w:p w:rsidR="00BB222D" w:rsidRPr="00210DD3" w:rsidRDefault="00BB222D" w:rsidP="00260E92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210DD3">
        <w:rPr>
          <w:rFonts w:ascii="仿宋_GB2312" w:eastAsia="仿宋_GB2312" w:hAnsi="宋体" w:cs="宋体" w:hint="eastAsia"/>
          <w:color w:val="2C3E50"/>
          <w:kern w:val="0"/>
          <w:sz w:val="32"/>
          <w:szCs w:val="32"/>
        </w:rPr>
        <w:t>4.团委事物管理</w:t>
      </w:r>
    </w:p>
    <w:p w:rsidR="00BB222D" w:rsidRPr="00582BF1" w:rsidRDefault="00BB222D" w:rsidP="00260E92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</w:pPr>
      <w:r w:rsidRPr="00582BF1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机构设置：</w:t>
      </w:r>
    </w:p>
    <w:p w:rsidR="00BB222D" w:rsidRPr="00210DD3" w:rsidRDefault="00BB222D" w:rsidP="00260E92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 </w:t>
      </w:r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下设办公室、财务科、少工委、城市部、农村部、组织部、</w:t>
      </w:r>
      <w:proofErr w:type="gramStart"/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志工权益</w:t>
      </w:r>
      <w:proofErr w:type="gramEnd"/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部。</w:t>
      </w:r>
    </w:p>
    <w:tbl>
      <w:tblPr>
        <w:tblW w:w="12692" w:type="dxa"/>
        <w:jc w:val="center"/>
        <w:tblInd w:w="10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827"/>
        <w:gridCol w:w="3406"/>
        <w:gridCol w:w="1632"/>
        <w:gridCol w:w="3827"/>
      </w:tblGrid>
      <w:tr w:rsidR="002151C7" w:rsidRPr="00A87F07" w:rsidTr="002151C7">
        <w:trPr>
          <w:trHeight w:val="300"/>
          <w:tblHeader/>
          <w:jc w:val="center"/>
        </w:trPr>
        <w:tc>
          <w:tcPr>
            <w:tcW w:w="3827" w:type="dxa"/>
            <w:vMerge w:val="restart"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center"/>
              <w:rPr>
                <w:rFonts w:ascii="方正书宋_GBK" w:eastAsia="方正书宋_GBK" w:hAnsi="Calibri" w:cs="Times New Roman"/>
                <w:b/>
              </w:rPr>
            </w:pPr>
            <w:r w:rsidRPr="00A87F07">
              <w:rPr>
                <w:rFonts w:ascii="方正书宋_GBK" w:eastAsia="方正书宋_GBK" w:hAnsi="Calibri" w:cs="Times New Roman" w:hint="eastAsia"/>
                <w:b/>
              </w:rPr>
              <w:t>单位名称</w:t>
            </w:r>
          </w:p>
        </w:tc>
        <w:tc>
          <w:tcPr>
            <w:tcW w:w="3406" w:type="dxa"/>
            <w:vMerge w:val="restart"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center"/>
              <w:rPr>
                <w:rFonts w:ascii="方正书宋_GBK" w:eastAsia="方正书宋_GBK" w:hAnsi="Calibri" w:cs="Times New Roman"/>
                <w:b/>
              </w:rPr>
            </w:pPr>
            <w:r w:rsidRPr="00A87F07">
              <w:rPr>
                <w:rFonts w:ascii="方正书宋_GBK" w:eastAsia="方正书宋_GBK" w:hAnsi="Calibri" w:cs="Times New Roman" w:hint="eastAsia"/>
                <w:b/>
              </w:rPr>
              <w:t>单位性质</w:t>
            </w:r>
          </w:p>
        </w:tc>
        <w:tc>
          <w:tcPr>
            <w:tcW w:w="1632" w:type="dxa"/>
            <w:vMerge w:val="restart"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center"/>
              <w:rPr>
                <w:rFonts w:ascii="方正书宋_GBK" w:eastAsia="方正书宋_GBK" w:hAnsi="Calibri" w:cs="Times New Roman"/>
                <w:b/>
              </w:rPr>
            </w:pPr>
            <w:r w:rsidRPr="00A87F07">
              <w:rPr>
                <w:rFonts w:ascii="方正书宋_GBK" w:eastAsia="方正书宋_GBK" w:hAnsi="Calibri" w:cs="Times New Roman" w:hint="eastAsia"/>
                <w:b/>
              </w:rPr>
              <w:t>单位规格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center"/>
              <w:rPr>
                <w:rFonts w:ascii="方正书宋_GBK" w:eastAsia="方正书宋_GBK" w:hAnsi="Calibri" w:cs="Times New Roman"/>
                <w:b/>
              </w:rPr>
            </w:pPr>
            <w:r w:rsidRPr="00A87F07">
              <w:rPr>
                <w:rFonts w:ascii="方正书宋_GBK" w:eastAsia="方正书宋_GBK" w:hAnsi="Calibri" w:cs="Times New Roman" w:hint="eastAsia"/>
                <w:b/>
              </w:rPr>
              <w:t>经费保障形式</w:t>
            </w:r>
          </w:p>
        </w:tc>
      </w:tr>
      <w:tr w:rsidR="002151C7" w:rsidRPr="00A87F07" w:rsidTr="002151C7">
        <w:trPr>
          <w:trHeight w:val="300"/>
          <w:tblHeader/>
          <w:jc w:val="center"/>
        </w:trPr>
        <w:tc>
          <w:tcPr>
            <w:tcW w:w="3827" w:type="dxa"/>
            <w:vMerge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left"/>
              <w:outlineLvl w:val="0"/>
              <w:rPr>
                <w:rFonts w:ascii="Calibri" w:eastAsia="宋体" w:hAnsi="Calibri" w:cs="Times New Roman"/>
              </w:rPr>
            </w:pPr>
          </w:p>
        </w:tc>
        <w:tc>
          <w:tcPr>
            <w:tcW w:w="3406" w:type="dxa"/>
            <w:vMerge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left"/>
              <w:outlineLvl w:val="0"/>
              <w:rPr>
                <w:rFonts w:ascii="Calibri" w:eastAsia="宋体" w:hAnsi="Calibri" w:cs="Times New Roman"/>
              </w:rPr>
            </w:pPr>
          </w:p>
        </w:tc>
        <w:tc>
          <w:tcPr>
            <w:tcW w:w="1632" w:type="dxa"/>
            <w:vMerge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left"/>
              <w:outlineLvl w:val="0"/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left"/>
              <w:outlineLvl w:val="0"/>
              <w:rPr>
                <w:rFonts w:ascii="Calibri" w:eastAsia="宋体" w:hAnsi="Calibri" w:cs="Times New Roman"/>
              </w:rPr>
            </w:pPr>
          </w:p>
        </w:tc>
      </w:tr>
      <w:tr w:rsidR="002151C7" w:rsidRPr="00A87F07" w:rsidTr="002151C7">
        <w:trPr>
          <w:trHeight w:val="227"/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center"/>
              <w:rPr>
                <w:rFonts w:ascii="方正书宋_GBK" w:eastAsia="方正书宋_GBK" w:hAnsi="Calibri" w:cs="Times New Roman"/>
                <w:b/>
              </w:rPr>
            </w:pPr>
            <w:r w:rsidRPr="00A87F07">
              <w:rPr>
                <w:rFonts w:ascii="方正书宋_GBK" w:eastAsia="方正书宋_GBK" w:hAnsi="Calibri" w:cs="Times New Roman" w:hint="eastAsia"/>
                <w:b/>
              </w:rPr>
              <w:t>合</w:t>
            </w:r>
            <w:r w:rsidRPr="00A87F07">
              <w:rPr>
                <w:rFonts w:ascii="方正书宋_GBK" w:eastAsia="方正书宋_GBK" w:hAnsi="Calibri" w:cs="Times New Roman"/>
                <w:b/>
              </w:rPr>
              <w:t xml:space="preserve">    </w:t>
            </w:r>
            <w:r w:rsidRPr="00A87F07">
              <w:rPr>
                <w:rFonts w:ascii="方正书宋_GBK" w:eastAsia="方正书宋_GBK" w:hAnsi="Calibri" w:cs="Times New Roman" w:hint="eastAsia"/>
                <w:b/>
              </w:rPr>
              <w:t>计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center"/>
              <w:rPr>
                <w:rFonts w:ascii="方正书宋_GBK" w:eastAsia="方正书宋_GBK" w:hAnsi="Calibri" w:cs="Times New Roman"/>
                <w:b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center"/>
              <w:rPr>
                <w:rFonts w:ascii="方正书宋_GBK" w:eastAsia="方正书宋_GBK" w:hAnsi="Calibri" w:cs="Times New Roman"/>
                <w:b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center"/>
              <w:rPr>
                <w:rFonts w:ascii="方正书宋_GBK" w:eastAsia="方正书宋_GBK" w:hAnsi="Calibri" w:cs="Times New Roman"/>
                <w:b/>
              </w:rPr>
            </w:pPr>
          </w:p>
        </w:tc>
      </w:tr>
      <w:tr w:rsidR="002151C7" w:rsidRPr="00A87F07" w:rsidTr="002151C7">
        <w:trPr>
          <w:trHeight w:val="227"/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left"/>
              <w:rPr>
                <w:rFonts w:ascii="方正书宋_GBK" w:eastAsia="方正书宋_GBK" w:hAnsi="Calibri" w:cs="Times New Roman"/>
              </w:rPr>
            </w:pPr>
            <w:r w:rsidRPr="00A87F07">
              <w:rPr>
                <w:rFonts w:ascii="方正书宋_GBK" w:eastAsia="方正书宋_GBK" w:hAnsi="Calibri" w:cs="Times New Roman" w:hint="eastAsia"/>
              </w:rPr>
              <w:t>共青团定州市委员会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center"/>
              <w:rPr>
                <w:rFonts w:ascii="方正书宋_GBK" w:eastAsia="方正书宋_GBK" w:hAnsi="Calibri" w:cs="Times New Roman"/>
              </w:rPr>
            </w:pPr>
            <w:r w:rsidRPr="00A87F07">
              <w:rPr>
                <w:rFonts w:ascii="方正书宋_GBK" w:eastAsia="方正书宋_GBK" w:hAnsi="Calibri" w:cs="Times New Roman" w:hint="eastAsia"/>
              </w:rPr>
              <w:t>行政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2151C7" w:rsidRPr="00A87F07" w:rsidRDefault="002151C7" w:rsidP="003943EF">
            <w:pPr>
              <w:spacing w:line="300" w:lineRule="exact"/>
              <w:jc w:val="center"/>
              <w:rPr>
                <w:rFonts w:ascii="方正书宋_GBK" w:eastAsia="方正书宋_GBK" w:hAnsi="Calibri" w:cs="Times New Roman"/>
              </w:rPr>
            </w:pPr>
            <w:r w:rsidRPr="00A87F07">
              <w:rPr>
                <w:rFonts w:ascii="方正书宋_GBK" w:eastAsia="方正书宋_GBK" w:hAnsi="Calibri" w:cs="Times New Roman" w:hint="eastAsia"/>
              </w:rPr>
              <w:t>正科级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2151C7" w:rsidRPr="00A87F07" w:rsidRDefault="0005595F" w:rsidP="003943EF">
            <w:pPr>
              <w:spacing w:line="300" w:lineRule="exact"/>
              <w:jc w:val="center"/>
              <w:rPr>
                <w:rFonts w:ascii="方正书宋_GBK" w:eastAsia="方正书宋_GBK" w:hAnsi="Calibri" w:cs="Times New Roman"/>
              </w:rPr>
            </w:pPr>
            <w:r>
              <w:rPr>
                <w:rFonts w:ascii="方正书宋_GBK" w:eastAsia="方正书宋_GBK" w:hAnsi="Calibri" w:cs="Times New Roman" w:hint="eastAsia"/>
              </w:rPr>
              <w:t>财政拨款</w:t>
            </w:r>
          </w:p>
        </w:tc>
      </w:tr>
    </w:tbl>
    <w:p w:rsidR="00210DD3" w:rsidRPr="0005595F" w:rsidRDefault="00BB222D" w:rsidP="00210DD3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</w:pPr>
      <w:r w:rsidRPr="0005595F">
        <w:rPr>
          <w:rFonts w:ascii="Times New Roman" w:eastAsia="微软雅黑" w:hAnsi="Times New Roman" w:cs="Times New Roman"/>
          <w:b/>
          <w:color w:val="2C3E50"/>
          <w:kern w:val="0"/>
          <w:sz w:val="29"/>
          <w:szCs w:val="29"/>
        </w:rPr>
        <w:t> </w:t>
      </w:r>
      <w:r w:rsidR="0005595F" w:rsidRPr="0005595F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二</w:t>
      </w:r>
      <w:r w:rsidR="00210DD3" w:rsidRPr="0005595F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、收支总体情况</w:t>
      </w:r>
    </w:p>
    <w:p w:rsidR="0005595F" w:rsidRDefault="0005595F" w:rsidP="0005595F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按照预算管理有关规定，目前我市部门预算的编制实行综合预算制度，即全部收入和支出都反映在预算中。</w:t>
      </w:r>
    </w:p>
    <w:p w:rsidR="007C2863" w:rsidRDefault="007C2863" w:rsidP="0005595F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1、收入说明</w:t>
      </w:r>
    </w:p>
    <w:p w:rsidR="007C2863" w:rsidRDefault="00210DD3" w:rsidP="00210DD3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proofErr w:type="gramStart"/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</w:t>
      </w:r>
      <w:proofErr w:type="gramEnd"/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本年收入39.77万元，其中：财政拨款39.77万元；上级补助收入 0万元；事业收入</w:t>
      </w:r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 xml:space="preserve"> 0万元；经营收入 0 万元；附属单位上解收入0 万元，其他收入 0万元。</w:t>
      </w:r>
    </w:p>
    <w:p w:rsidR="007C2863" w:rsidRDefault="007C2863" w:rsidP="00210DD3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2、支出说明</w:t>
      </w:r>
    </w:p>
    <w:p w:rsidR="00210DD3" w:rsidRPr="00210DD3" w:rsidRDefault="00210DD3" w:rsidP="00210DD3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安排支出 39.77 万元 ，其中：基本支出28.77 万元，其中人员25.87万元，公用经费2.9万元；项目支出 11万元；上缴上级支出</w:t>
      </w:r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 xml:space="preserve"> 0万元；经营支出0 万元；对附属单位补助支出0 万元。</w:t>
      </w:r>
    </w:p>
    <w:p w:rsidR="007C2863" w:rsidRPr="007C2863" w:rsidRDefault="007C2863" w:rsidP="007C2863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3、比上年增减情况</w:t>
      </w:r>
    </w:p>
    <w:p w:rsidR="00210DD3" w:rsidRPr="00210DD3" w:rsidRDefault="00210DD3" w:rsidP="007C2863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2017年预算收支安排39.77万元，较2016年预算32.69万元增加7.08万元，其中基本支出增加1.08万元，主要为增加人员经费支出；项目支出增加6万元。</w:t>
      </w:r>
    </w:p>
    <w:p w:rsidR="00210DD3" w:rsidRPr="005C0724" w:rsidRDefault="005C0724" w:rsidP="00210DD3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</w:pPr>
      <w:r w:rsidRPr="005C0724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三</w:t>
      </w:r>
      <w:r w:rsidR="00210DD3" w:rsidRPr="005C0724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、机关运行经费安排情况</w:t>
      </w:r>
    </w:p>
    <w:p w:rsidR="00210DD3" w:rsidRPr="00210DD3" w:rsidRDefault="00210DD3" w:rsidP="00210DD3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proofErr w:type="gramStart"/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</w:t>
      </w:r>
      <w:proofErr w:type="gramEnd"/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安排机关运行经费</w:t>
      </w:r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210DD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 xml:space="preserve"> 2.9万元，其中：办公及印刷费0.1 万元、邮电费 0.17万元、差旅费 0.11万元、会议费 0万元、福利费0万元、日常维修费 0万元、专用材料及一般设备购置费0 万元、办公用房水电费 0万元、办公用房取暖费0 万元、办公用房物业管理费0 万元、公务交通补贴2.1万元。</w:t>
      </w:r>
    </w:p>
    <w:p w:rsidR="00210DD3" w:rsidRPr="005C0724" w:rsidRDefault="005C0724" w:rsidP="00210DD3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</w:pPr>
      <w:r w:rsidRPr="005C0724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四</w:t>
      </w:r>
      <w:r w:rsidR="00210DD3" w:rsidRPr="005C0724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、“三公”经费安排情况</w:t>
      </w:r>
    </w:p>
    <w:p w:rsidR="00210DD3" w:rsidRPr="007C2863" w:rsidRDefault="00210DD3" w:rsidP="007C2863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210DD3">
        <w:rPr>
          <w:rFonts w:ascii="仿宋_GB2312" w:eastAsia="仿宋_GB2312" w:hint="eastAsia"/>
          <w:sz w:val="32"/>
          <w:szCs w:val="32"/>
        </w:rPr>
        <w:t>因公出国（境）</w:t>
      </w:r>
      <w:proofErr w:type="gramStart"/>
      <w:r w:rsidRPr="00210DD3">
        <w:rPr>
          <w:rFonts w:ascii="仿宋_GB2312" w:eastAsia="仿宋_GB2312" w:hint="eastAsia"/>
          <w:sz w:val="32"/>
          <w:szCs w:val="32"/>
        </w:rPr>
        <w:t>费安排</w:t>
      </w:r>
      <w:proofErr w:type="gramEnd"/>
      <w:r w:rsidRPr="00210DD3">
        <w:rPr>
          <w:rFonts w:ascii="仿宋_GB2312" w:eastAsia="仿宋_GB2312" w:hint="eastAsia"/>
          <w:sz w:val="32"/>
          <w:szCs w:val="32"/>
        </w:rPr>
        <w:t>0万元，0批次、0人次。公务用车购置及运行费0万元，其中：公务用车购置0万元、公务用车运行费0万元。公务接待费0万元，接待0批次、0人次。</w:t>
      </w:r>
      <w:r w:rsidR="007C2863" w:rsidRPr="00891548">
        <w:rPr>
          <w:rFonts w:ascii="仿宋_GB2312" w:eastAsia="仿宋_GB2312" w:hAnsi="宋体" w:hint="eastAsia"/>
          <w:sz w:val="32"/>
          <w:szCs w:val="32"/>
        </w:rPr>
        <w:t>与2016年持平，无增减变化。</w:t>
      </w:r>
    </w:p>
    <w:p w:rsidR="00BB222D" w:rsidRPr="005C0724" w:rsidRDefault="005C0724" w:rsidP="00210DD3">
      <w:pPr>
        <w:widowControl/>
        <w:spacing w:line="600" w:lineRule="exact"/>
        <w:ind w:firstLine="646"/>
        <w:jc w:val="left"/>
        <w:rPr>
          <w:rFonts w:ascii="微软雅黑" w:eastAsia="微软雅黑" w:hAnsi="微软雅黑" w:cs="宋体"/>
          <w:b/>
          <w:color w:val="2C3E50"/>
          <w:kern w:val="0"/>
          <w:sz w:val="18"/>
          <w:szCs w:val="18"/>
        </w:rPr>
      </w:pPr>
      <w:r w:rsidRPr="005C0724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五</w:t>
      </w:r>
      <w:r w:rsidR="00BB222D" w:rsidRPr="005C0724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、绩效预算信息</w:t>
      </w:r>
    </w:p>
    <w:p w:rsidR="00BB222D" w:rsidRPr="00BB222D" w:rsidRDefault="00BB222D" w:rsidP="00BB222D">
      <w:pPr>
        <w:widowControl/>
        <w:spacing w:after="240" w:line="300" w:lineRule="atLeast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br w:type="page"/>
      </w:r>
      <w:r w:rsidRPr="00BB222D"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  <w:t> </w:t>
      </w:r>
    </w:p>
    <w:p w:rsidR="00BB222D" w:rsidRPr="00BB222D" w:rsidRDefault="00BB222D" w:rsidP="00BB222D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bookmarkStart w:id="0" w:name="_Toc442343441"/>
      <w:bookmarkEnd w:id="0"/>
      <w:r w:rsidRPr="00BB222D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13935" w:type="dxa"/>
        <w:tblCellMar>
          <w:left w:w="0" w:type="dxa"/>
          <w:right w:w="0" w:type="dxa"/>
        </w:tblCellMar>
        <w:tblLook w:val="04A0"/>
      </w:tblPr>
      <w:tblGrid>
        <w:gridCol w:w="2340"/>
        <w:gridCol w:w="1275"/>
        <w:gridCol w:w="2970"/>
        <w:gridCol w:w="2970"/>
        <w:gridCol w:w="1410"/>
        <w:gridCol w:w="735"/>
        <w:gridCol w:w="735"/>
        <w:gridCol w:w="735"/>
        <w:gridCol w:w="765"/>
      </w:tblGrid>
      <w:tr w:rsidR="00BB222D" w:rsidRPr="00BB222D" w:rsidTr="00BB222D">
        <w:trPr>
          <w:trHeight w:val="225"/>
          <w:tblHeader/>
        </w:trPr>
        <w:tc>
          <w:tcPr>
            <w:tcW w:w="13935" w:type="dxa"/>
            <w:gridSpan w:val="9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712共青团定州市委员会</w:t>
            </w:r>
          </w:p>
        </w:tc>
      </w:tr>
      <w:tr w:rsidR="00BB222D" w:rsidRPr="00BB222D" w:rsidTr="00BB222D">
        <w:trPr>
          <w:trHeight w:val="225"/>
          <w:tblHeader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评价标准</w:t>
            </w:r>
          </w:p>
        </w:tc>
      </w:tr>
      <w:tr w:rsidR="00BB222D" w:rsidRPr="00BB222D" w:rsidTr="00BB222D">
        <w:trPr>
          <w:trHeight w:val="225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2D" w:rsidRPr="00BB222D" w:rsidRDefault="00BB222D" w:rsidP="00BB222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2D" w:rsidRPr="00BB222D" w:rsidRDefault="00BB222D" w:rsidP="00BB222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2D" w:rsidRPr="00BB222D" w:rsidRDefault="00BB222D" w:rsidP="00BB222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2D" w:rsidRPr="00BB222D" w:rsidRDefault="00BB222D" w:rsidP="00BB222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2D" w:rsidRPr="00BB222D" w:rsidRDefault="00BB222D" w:rsidP="00BB222D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优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良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中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差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组织建设和宣传教育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3.00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领导全县共青团工作；协助县政府教育部门做好学生教育管理工作。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基层团组织和青年组织建设加强，活力明显提升。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组织建设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3.00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指导全县青联、学联和少先队工作，对全县性青年社团组织进行指导和管理。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加强团干部配备和激励，加强思想、作风建设，团干部教育培训；加强青联、学联、少工委工作的指导，加强青年社团组织以及青少年活动阵地的指导和管理。基层团组织服务能力不断提高。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县乡村三级团组织规范化建设完成率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组织建设和宣传教育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领导全县共青团工作，指导全县青、学联和少先队工作，对全县性青年社团组织指导和管理；对青年工作院校、青少年活动阵地和青少年服务机构的建设等进行规划和管理；协助省政府教育部门做好学生教育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基层团组织和青年组织建设加强，活力明显提升。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宣传教育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有效利用网络和新媒体加强对青年的宣传力度，加强网络和新媒体正面宣传，用科学理论武装青年，用共同理想感召青年，</w:t>
            </w:r>
            <w:proofErr w:type="gramStart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用核心</w:t>
            </w:r>
            <w:proofErr w:type="gramEnd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价值观引领青年，协助县政府教育部门做好大、中、小学学生的教育管理工作，维护学校稳定和社会安定团结。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proofErr w:type="gramStart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构建团</w:t>
            </w:r>
            <w:proofErr w:type="gramEnd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的网络新媒体工作阵地，运用新媒体全方位推进团的工作；利用重要节点节日、各类阵地、各种形式进行思想引导，培养青年骨干，打造适应青少年特点的文化产品。维护青少年队伍稳定，促进和谐社会建设。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团干部培训覆盖率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组织建设和宣传教育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领导全县共青团工作，指导全县青、学联和少先队工作，对全县性青年社团组织指导和管理；对青年工作院校、青少年活动阵地和青少年服务机构的建设等进行规划和管理；协助省政府教育部门做好学生教育管理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基层团组织和青年组织建设加强，活力明显提升。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宣传教育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有效利用网络和新媒体加强对青年的宣传力度，加强网络和新媒体正面宣传，用科学理论武装青年，用共同理想感召青年，</w:t>
            </w:r>
            <w:proofErr w:type="gramStart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用核心</w:t>
            </w:r>
            <w:proofErr w:type="gramEnd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价值观引领青年，协助县政府教育部门做好大、中、小学学生的教育管理工作，维护学校稳定和社会安定团结。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proofErr w:type="gramStart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构建团</w:t>
            </w:r>
            <w:proofErr w:type="gramEnd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的网络新媒体工作阵地，运用新媒体全方位推进团的工作；利用重要节点节日、各类阵地、各种形式进行思想引导，培养青年骨干，打造适应青少年特点的文化产品。维护青少年队伍稳定，促进和谐社会建设。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希望工程资助完成率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服务、引导青少年工作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调查青年思想动态和工作状况，研究青少年运动、青少年工作理论和思想教育问题并开展各种活动；组织和带领青年在经济建设中发挥生力军和突击队作用；丰富青少年活动，服务青年学习成才、交流交友、社会融入等现实需求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围绕青年思想动态和青年工作现状，不断加强青少年社会主义核心价值观教育，加强青年统战工作，围绕党政中心工作开展各项活动。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青少年服务引导工作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围绕青年思想动态和青年工作状况，研究青少年运动、青少年工作理论和思想教育问题开展调研活动；围绕经济建设开展团的各项活动；参与制定有关本县的青年统战工作的政策，做好青年统战对象的团结教育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做好青年统战对象的团结教育工作，为全县积极社会发展贡献力量。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青年创新创业创优活动完成率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服务、引导青少年工作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调查青年思想动态和工作状况，研究青少年运动、青少年工作理论和思想教育问题并开展各种活动；组织和带领青年在经济建设中发挥生力军和突击队作用；丰富青少年活动，服务青年学习成才、交流交友、社会融入等现实需求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围绕青年思想动态和青年工作现状，不断加强青少年社会主义核心价值观教育，加强青年统战工作，围绕党政中心工作开展各项活动。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青少年服务引导工作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围绕青年思想动态和青年工作状况，研究青少年运动、青少年工作理论和思想教育问题开展调研活动；围绕经济建设开展团的各项活动；参与制定有关本县的青年统战工作的政策，做好青年统战对象的团结教育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做好青年统战对象的团结教育工作，为全县积极社会发展贡献力量。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培训、联谊、竞赛活动完成率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服务、引导青少年工作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调查青年思想动态和工作状况，研究青少年运动、青少年工作理论和思想教育问题并开展各种活动；组织和带领青年在经济建设中发挥生力军和突击队作用；丰富青少年活动，服务青年学习成才、交流交友、社会融入等现实需求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围绕青年思想动态和青年工作现状，不断加强青少年社会主义核心价值观教育，加强青年统战工作，围绕党政中心工作开展各项活动。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青少年服务引导工作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围绕青年思想动态和青年工作状况，研究青少年运动、青少年工作理论和思想教育问题开展调研活动；围绕经济建设开展团的各项活动；参与制定有关本县的青年统战工作的政策，做好青年统战对象的团结教育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做好青年统战对象的团结教育工作，为全县积极社会发展贡献力量。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五四青年奖章评选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维护青少年权益工作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研究有关青少年发展问题；参与监督青少年法规的执行、处理侵害青少年合法权益的问题；负责县未成年人保护委员会的日常工作。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加强青少年事务社会工作，加强法治宣传教育，促进青少年健康成长。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预防青少年违法犯罪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做好大中小学学生的教育管理工作，维护学校稳定和社会安定团结；推动青少年事务社会工作开展，提高源头治理力度，做好预防青少年违法犯罪工作。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加强青少年法制宣传教育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,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增强青少年</w:t>
            </w:r>
            <w:proofErr w:type="gramStart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学法尊法守法</w:t>
            </w:r>
            <w:proofErr w:type="gramEnd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用法意识，充分发挥青法协作用，为青少年提供法律保护。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全县专家、志愿服务队伍组建数量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维护青少年权益工作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研究有关青少年发展问题，参与制</w:t>
            </w:r>
            <w:proofErr w:type="gramStart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定本县</w:t>
            </w:r>
            <w:proofErr w:type="gramEnd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保护青少年健康成长的法律、地方性法规；参与监督青少年法规的执行、处理侵害青少年合法权益的问题；负责县未成年人保护委员会的日常工作。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加强青少年事务社会工作，加强法治宣传教育，促进青少年健康成长。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预防青少年违法犯罪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做好大中小学学生的教育管理工作，维护学校稳定和社会安定团结；推动青少年事务社会工作开展，提高源头治理力度，做好预防青少年违法犯罪工作。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加强青少年法制宣传教育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,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增强青少年</w:t>
            </w:r>
            <w:proofErr w:type="gramStart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学法尊法守法</w:t>
            </w:r>
            <w:proofErr w:type="gramEnd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用法意识，充分发挥青法协作用，为青少年提供法律保护。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青少年事务社工人数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维护青少年权益工作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研究有关青少年发展问题，参与制</w:t>
            </w:r>
            <w:proofErr w:type="gramStart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定本县</w:t>
            </w:r>
            <w:proofErr w:type="gramEnd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保护青少年健康成长的法律、地方性法规；参与监督青少年法规的执行、处理侵害青少年合法权益的问题；负责县未成年人保护委员会的日常工作。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加强青少年事务社会工作，加强法治宣传教育，促进青少年健康成长。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预防青少年违法犯罪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做好大中小学学生的教育管理工作，维护学校稳定和社会安定团结；推动青少年事务社会工作开展，提高源头治理力度，做好预防青少年违法犯罪工作。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加强青少年法制宣传教育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,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增强青少年</w:t>
            </w:r>
            <w:proofErr w:type="gramStart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学法尊法守法</w:t>
            </w:r>
            <w:proofErr w:type="gramEnd"/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用法意识，充分发挥青法协作用，为青少年提供法律保护。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青少年事务社工组织数量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>团委事务管理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2.00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负责团县委综合业务管理。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年度工作任务圆满完成，促进共青团事业发展。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BB222D" w:rsidRPr="00BB222D" w:rsidTr="00BB222D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</w:rPr>
              <w:t xml:space="preserve">　　综合业务管理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2.00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参与制定全县的青少年事业发展规划和青少年工作方针、政策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;</w:t>
            </w: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承担县委、县政府和团中央交办的有关事项。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高质量完成全县青少年发展规划和方针政策的制定，圆满完成省委、省政府和团中央交办的各项任务。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综合业务完成率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100%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80%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70%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22D" w:rsidRPr="00BB222D" w:rsidRDefault="00BB222D" w:rsidP="00BB222D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BB222D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60%</w:t>
            </w:r>
          </w:p>
        </w:tc>
      </w:tr>
    </w:tbl>
    <w:p w:rsidR="00BB222D" w:rsidRPr="00BB222D" w:rsidRDefault="00BB222D" w:rsidP="00BB222D">
      <w:pPr>
        <w:widowControl/>
        <w:spacing w:after="240" w:line="300" w:lineRule="atLeast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BB222D">
        <w:rPr>
          <w:rFonts w:ascii="Calibri" w:eastAsia="微软雅黑" w:hAnsi="Calibri" w:cs="宋体"/>
          <w:color w:val="2C3E50"/>
          <w:kern w:val="0"/>
          <w:szCs w:val="21"/>
        </w:rPr>
        <w:br w:type="page"/>
      </w:r>
    </w:p>
    <w:p w:rsidR="00BB222D" w:rsidRPr="005C0724" w:rsidRDefault="00BB222D" w:rsidP="005C0724">
      <w:pPr>
        <w:widowControl/>
        <w:spacing w:line="600" w:lineRule="exact"/>
        <w:ind w:firstLineChars="200" w:firstLine="643"/>
        <w:jc w:val="left"/>
        <w:rPr>
          <w:rFonts w:ascii="微软雅黑" w:eastAsia="微软雅黑" w:hAnsi="微软雅黑" w:cs="宋体"/>
          <w:b/>
          <w:color w:val="2C3E50"/>
          <w:kern w:val="0"/>
          <w:sz w:val="18"/>
          <w:szCs w:val="18"/>
        </w:rPr>
      </w:pPr>
      <w:r w:rsidRPr="005C0724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六、政府采购预算情况</w:t>
      </w:r>
    </w:p>
    <w:p w:rsidR="00350859" w:rsidRPr="00891548" w:rsidRDefault="00350859" w:rsidP="00350859">
      <w:pPr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891548">
        <w:rPr>
          <w:rFonts w:ascii="仿宋_GB2312" w:eastAsia="仿宋_GB2312" w:hAnsi="宋体" w:hint="eastAsia"/>
          <w:sz w:val="28"/>
          <w:szCs w:val="28"/>
        </w:rPr>
        <w:t>2017年，</w:t>
      </w:r>
      <w:proofErr w:type="gramStart"/>
      <w:r w:rsidRPr="00891548">
        <w:rPr>
          <w:rFonts w:ascii="仿宋_GB2312" w:eastAsia="仿宋_GB2312" w:hAnsi="宋体" w:hint="eastAsia"/>
          <w:sz w:val="28"/>
          <w:szCs w:val="28"/>
        </w:rPr>
        <w:t>我部门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未</w:t>
      </w:r>
      <w:r w:rsidRPr="00891548">
        <w:rPr>
          <w:rFonts w:ascii="仿宋_GB2312" w:eastAsia="仿宋_GB2312" w:hAnsi="宋体" w:hint="eastAsia"/>
          <w:sz w:val="28"/>
          <w:szCs w:val="28"/>
        </w:rPr>
        <w:t>安排政府采购预算。具体内容</w:t>
      </w:r>
      <w:r>
        <w:rPr>
          <w:rFonts w:ascii="仿宋_GB2312" w:eastAsia="仿宋_GB2312" w:hAnsi="宋体" w:hint="eastAsia"/>
          <w:sz w:val="28"/>
          <w:szCs w:val="28"/>
        </w:rPr>
        <w:t>空表列示</w:t>
      </w:r>
      <w:r w:rsidRPr="00891548">
        <w:rPr>
          <w:rFonts w:ascii="仿宋_GB2312" w:eastAsia="仿宋_GB2312" w:hAnsi="宋体" w:hint="eastAsia"/>
          <w:sz w:val="28"/>
          <w:szCs w:val="28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6"/>
        <w:gridCol w:w="697"/>
        <w:gridCol w:w="872"/>
        <w:gridCol w:w="872"/>
        <w:gridCol w:w="872"/>
        <w:gridCol w:w="872"/>
        <w:gridCol w:w="872"/>
        <w:gridCol w:w="873"/>
        <w:gridCol w:w="873"/>
        <w:gridCol w:w="873"/>
        <w:gridCol w:w="873"/>
        <w:gridCol w:w="873"/>
        <w:gridCol w:w="873"/>
        <w:gridCol w:w="873"/>
      </w:tblGrid>
      <w:tr w:rsidR="00350859" w:rsidRPr="008F18A5" w:rsidTr="00350859">
        <w:trPr>
          <w:trHeight w:val="248"/>
        </w:trPr>
        <w:tc>
          <w:tcPr>
            <w:tcW w:w="1742" w:type="dxa"/>
            <w:gridSpan w:val="2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政府采购项目来源</w:t>
            </w:r>
          </w:p>
        </w:tc>
        <w:tc>
          <w:tcPr>
            <w:tcW w:w="872" w:type="dxa"/>
            <w:vMerge w:val="restart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采购物品名称</w:t>
            </w:r>
          </w:p>
        </w:tc>
        <w:tc>
          <w:tcPr>
            <w:tcW w:w="872" w:type="dxa"/>
            <w:vMerge w:val="restart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政府采购目录序号</w:t>
            </w:r>
          </w:p>
        </w:tc>
        <w:tc>
          <w:tcPr>
            <w:tcW w:w="872" w:type="dxa"/>
            <w:vMerge w:val="restart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数量单位</w:t>
            </w:r>
          </w:p>
        </w:tc>
        <w:tc>
          <w:tcPr>
            <w:tcW w:w="872" w:type="dxa"/>
            <w:vMerge w:val="restart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数量</w:t>
            </w:r>
          </w:p>
        </w:tc>
        <w:tc>
          <w:tcPr>
            <w:tcW w:w="872" w:type="dxa"/>
            <w:vMerge w:val="restart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单价</w:t>
            </w:r>
          </w:p>
        </w:tc>
        <w:tc>
          <w:tcPr>
            <w:tcW w:w="6108" w:type="dxa"/>
            <w:gridSpan w:val="7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政府采购金额</w:t>
            </w:r>
          </w:p>
        </w:tc>
      </w:tr>
      <w:tr w:rsidR="00350859" w:rsidRPr="008F18A5" w:rsidTr="00350859">
        <w:trPr>
          <w:trHeight w:val="248"/>
        </w:trPr>
        <w:tc>
          <w:tcPr>
            <w:tcW w:w="1046" w:type="dxa"/>
            <w:vMerge w:val="restart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97" w:type="dxa"/>
            <w:vMerge w:val="restart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预算资金</w:t>
            </w:r>
          </w:p>
        </w:tc>
        <w:tc>
          <w:tcPr>
            <w:tcW w:w="872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3" w:type="dxa"/>
            <w:vMerge w:val="restart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总计</w:t>
            </w:r>
          </w:p>
        </w:tc>
        <w:tc>
          <w:tcPr>
            <w:tcW w:w="4363" w:type="dxa"/>
            <w:gridSpan w:val="5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当年部门预算安排资金</w:t>
            </w:r>
          </w:p>
        </w:tc>
        <w:tc>
          <w:tcPr>
            <w:tcW w:w="873" w:type="dxa"/>
            <w:vMerge w:val="restart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其他渠道资金</w:t>
            </w:r>
          </w:p>
        </w:tc>
      </w:tr>
      <w:tr w:rsidR="00350859" w:rsidRPr="008F18A5" w:rsidTr="00350859">
        <w:trPr>
          <w:trHeight w:val="516"/>
        </w:trPr>
        <w:tc>
          <w:tcPr>
            <w:tcW w:w="1046" w:type="dxa"/>
            <w:vMerge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3" w:type="dxa"/>
            <w:vMerge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合计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一般公共预算拨款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基金预算拨款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财政专户核拨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173533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其他来源收入</w:t>
            </w:r>
          </w:p>
        </w:tc>
        <w:tc>
          <w:tcPr>
            <w:tcW w:w="873" w:type="dxa"/>
            <w:vMerge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0859" w:rsidRPr="00A93FEE" w:rsidTr="00350859">
        <w:trPr>
          <w:trHeight w:val="529"/>
        </w:trPr>
        <w:tc>
          <w:tcPr>
            <w:tcW w:w="1046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团委</w:t>
            </w:r>
            <w:r w:rsidRPr="00A93FEE">
              <w:rPr>
                <w:rFonts w:ascii="宋体" w:hAnsi="宋体" w:hint="eastAsia"/>
                <w:b/>
                <w:szCs w:val="21"/>
              </w:rPr>
              <w:t>小计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A93FEE" w:rsidRDefault="00350859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350859" w:rsidRPr="008F18A5" w:rsidTr="00350859">
        <w:trPr>
          <w:trHeight w:val="529"/>
        </w:trPr>
        <w:tc>
          <w:tcPr>
            <w:tcW w:w="1046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0859" w:rsidRPr="008F18A5" w:rsidTr="00350859">
        <w:trPr>
          <w:trHeight w:val="516"/>
        </w:trPr>
        <w:tc>
          <w:tcPr>
            <w:tcW w:w="1046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350859" w:rsidRPr="0086736D" w:rsidRDefault="00350859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B222D" w:rsidRPr="006237DF" w:rsidRDefault="00BB222D" w:rsidP="00210DD3">
      <w:pPr>
        <w:widowControl/>
        <w:spacing w:line="600" w:lineRule="exact"/>
        <w:ind w:firstLine="646"/>
        <w:jc w:val="left"/>
        <w:rPr>
          <w:rFonts w:ascii="微软雅黑" w:eastAsia="微软雅黑" w:hAnsi="微软雅黑" w:cs="宋体"/>
          <w:b/>
          <w:color w:val="2C3E50"/>
          <w:kern w:val="0"/>
          <w:sz w:val="18"/>
          <w:szCs w:val="18"/>
        </w:rPr>
      </w:pPr>
      <w:r w:rsidRPr="006237DF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七、国有资产信息</w:t>
      </w:r>
    </w:p>
    <w:p w:rsidR="00BB222D" w:rsidRDefault="00BB222D" w:rsidP="00210DD3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2016年，我单位（含所</w:t>
      </w:r>
      <w:r w:rsidRPr="00BB222D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属单位）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国有资产年末价值为25.9632万元，同比减少1.9998万元。主要是由流动资产3.6422万元、固定资产22.321万元、长期投资0万元、在建工程0万元、无形资产0万元、其他资产0万元构成。其中：固定资产中房屋60平方米，价值0万元；汽车1辆，价值17.33万元；其他固定价值4.991万元。</w:t>
      </w:r>
    </w:p>
    <w:p w:rsidR="004A6B08" w:rsidRPr="00544B4B" w:rsidRDefault="004A6B08" w:rsidP="004A6B08">
      <w:pPr>
        <w:ind w:firstLineChars="200" w:firstLine="643"/>
        <w:jc w:val="center"/>
        <w:rPr>
          <w:rFonts w:ascii="宋体" w:hAnsi="宋体" w:hint="eastAsia"/>
          <w:b/>
          <w:sz w:val="32"/>
          <w:szCs w:val="32"/>
        </w:rPr>
      </w:pPr>
      <w:r w:rsidRPr="00544B4B">
        <w:rPr>
          <w:rFonts w:ascii="宋体" w:hAnsi="宋体" w:hint="eastAsia"/>
          <w:b/>
          <w:sz w:val="32"/>
          <w:szCs w:val="32"/>
        </w:rPr>
        <w:t>固定资产占用情况表</w:t>
      </w:r>
    </w:p>
    <w:p w:rsidR="004A6B08" w:rsidRDefault="004A6B08" w:rsidP="004A6B08">
      <w:pPr>
        <w:widowControl/>
        <w:spacing w:line="600" w:lineRule="exac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>
        <w:rPr>
          <w:rFonts w:ascii="宋体" w:hAnsi="宋体" w:hint="eastAsia"/>
          <w:sz w:val="18"/>
          <w:szCs w:val="18"/>
        </w:rPr>
        <w:t xml:space="preserve">                                                                                             截止时间：2016年12月31日</w:t>
      </w:r>
    </w:p>
    <w:tbl>
      <w:tblPr>
        <w:tblW w:w="9229" w:type="dxa"/>
        <w:jc w:val="center"/>
        <w:tblInd w:w="93" w:type="dxa"/>
        <w:tblLook w:val="04A0"/>
      </w:tblPr>
      <w:tblGrid>
        <w:gridCol w:w="5022"/>
        <w:gridCol w:w="1367"/>
        <w:gridCol w:w="2840"/>
      </w:tblGrid>
      <w:tr w:rsidR="00362596" w:rsidRPr="00362596" w:rsidTr="004A6B08">
        <w:trPr>
          <w:trHeight w:val="308"/>
          <w:jc w:val="center"/>
        </w:trPr>
        <w:tc>
          <w:tcPr>
            <w:tcW w:w="50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362596" w:rsidRPr="00362596" w:rsidRDefault="00362596" w:rsidP="00362596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1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596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596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价值(单位:万元)</w:t>
            </w:r>
          </w:p>
        </w:tc>
      </w:tr>
      <w:tr w:rsidR="00362596" w:rsidRPr="00362596" w:rsidTr="004A6B08">
        <w:trPr>
          <w:trHeight w:val="308"/>
          <w:jc w:val="center"/>
        </w:trPr>
        <w:tc>
          <w:tcPr>
            <w:tcW w:w="50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362596" w:rsidRPr="00362596" w:rsidRDefault="00362596" w:rsidP="00362596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资产总额</w:t>
            </w:r>
          </w:p>
        </w:tc>
        <w:tc>
          <w:tcPr>
            <w:tcW w:w="1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25.96</w:t>
            </w:r>
          </w:p>
        </w:tc>
      </w:tr>
      <w:tr w:rsidR="00362596" w:rsidRPr="00362596" w:rsidTr="004A6B08">
        <w:trPr>
          <w:trHeight w:val="308"/>
          <w:jc w:val="center"/>
        </w:trPr>
        <w:tc>
          <w:tcPr>
            <w:tcW w:w="50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362596" w:rsidRPr="00362596" w:rsidRDefault="00362596" w:rsidP="00362596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一、流动资产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3.64</w:t>
            </w:r>
          </w:p>
        </w:tc>
      </w:tr>
      <w:tr w:rsidR="00362596" w:rsidRPr="00362596" w:rsidTr="004A6B08">
        <w:trPr>
          <w:trHeight w:val="308"/>
          <w:jc w:val="center"/>
        </w:trPr>
        <w:tc>
          <w:tcPr>
            <w:tcW w:w="50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362596" w:rsidRPr="00362596" w:rsidRDefault="00362596" w:rsidP="00362596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二、固定资产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22.32</w:t>
            </w:r>
          </w:p>
        </w:tc>
      </w:tr>
      <w:tr w:rsidR="00362596" w:rsidRPr="00362596" w:rsidTr="004A6B08">
        <w:trPr>
          <w:trHeight w:val="308"/>
          <w:jc w:val="center"/>
        </w:trPr>
        <w:tc>
          <w:tcPr>
            <w:tcW w:w="50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362596" w:rsidRPr="00362596" w:rsidRDefault="00362596" w:rsidP="00E8321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E8321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1、</w:t>
            </w: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房屋（平方米）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362596" w:rsidRPr="00362596" w:rsidTr="004A6B08">
        <w:trPr>
          <w:trHeight w:val="308"/>
          <w:jc w:val="center"/>
        </w:trPr>
        <w:tc>
          <w:tcPr>
            <w:tcW w:w="50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362596" w:rsidRPr="00362596" w:rsidRDefault="00362596" w:rsidP="00E8321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       </w:t>
            </w:r>
            <w:r w:rsidR="00E8321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其中：</w:t>
            </w: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办公用房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362596" w:rsidRPr="00362596" w:rsidTr="004A6B08">
        <w:trPr>
          <w:trHeight w:val="308"/>
          <w:jc w:val="center"/>
        </w:trPr>
        <w:tc>
          <w:tcPr>
            <w:tcW w:w="50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362596" w:rsidRPr="00362596" w:rsidRDefault="00362596" w:rsidP="00E8321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E8321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2、</w:t>
            </w: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车辆（台、辆）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17.33</w:t>
            </w:r>
          </w:p>
        </w:tc>
      </w:tr>
      <w:tr w:rsidR="00362596" w:rsidRPr="00362596" w:rsidTr="004A6B08">
        <w:trPr>
          <w:trHeight w:val="308"/>
          <w:jc w:val="center"/>
        </w:trPr>
        <w:tc>
          <w:tcPr>
            <w:tcW w:w="50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362596" w:rsidRPr="00362596" w:rsidRDefault="00362596" w:rsidP="00E8321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E8321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3、</w:t>
            </w: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单价在</w:t>
            </w:r>
            <w:r w:rsidR="00CF266D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0万元以上的设备（台、套…）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</w:tr>
      <w:tr w:rsidR="00362596" w:rsidRPr="00362596" w:rsidTr="004A6B08">
        <w:trPr>
          <w:trHeight w:val="308"/>
          <w:jc w:val="center"/>
        </w:trPr>
        <w:tc>
          <w:tcPr>
            <w:tcW w:w="50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362596" w:rsidRPr="00362596" w:rsidRDefault="00362596" w:rsidP="00E8321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E8321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4、</w:t>
            </w: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其他固定资产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2596" w:rsidRPr="00362596" w:rsidRDefault="00362596" w:rsidP="00362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6259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4.99</w:t>
            </w:r>
          </w:p>
        </w:tc>
      </w:tr>
    </w:tbl>
    <w:p w:rsidR="00BB222D" w:rsidRPr="004A6B08" w:rsidRDefault="00BB222D" w:rsidP="004A6B08">
      <w:pPr>
        <w:widowControl/>
        <w:spacing w:line="600" w:lineRule="exact"/>
        <w:ind w:firstLineChars="200" w:firstLine="643"/>
        <w:jc w:val="left"/>
        <w:rPr>
          <w:rFonts w:ascii="微软雅黑" w:eastAsia="微软雅黑" w:hAnsi="微软雅黑" w:cs="宋体"/>
          <w:b/>
          <w:color w:val="2C3E50"/>
          <w:kern w:val="0"/>
          <w:sz w:val="18"/>
          <w:szCs w:val="18"/>
        </w:rPr>
      </w:pPr>
      <w:r w:rsidRPr="004A6B08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八、名词解释</w:t>
      </w:r>
    </w:p>
    <w:p w:rsidR="00BB222D" w:rsidRPr="00BB222D" w:rsidRDefault="00BB222D" w:rsidP="00210DD3">
      <w:pPr>
        <w:widowControl/>
        <w:spacing w:line="600" w:lineRule="exac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“三公经费</w:t>
      </w:r>
      <w:r w:rsidRPr="00BB222D">
        <w:rPr>
          <w:rFonts w:ascii="微软雅黑" w:eastAsia="微软雅黑" w:hAnsi="微软雅黑" w:cs="宋体" w:hint="eastAsia"/>
          <w:color w:val="2C3E50"/>
          <w:kern w:val="0"/>
          <w:sz w:val="32"/>
          <w:szCs w:val="32"/>
        </w:rPr>
        <w:t>”</w:t>
      </w: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指因公出国（境）费、公务用车购置及运行费和公务接待费</w:t>
      </w:r>
    </w:p>
    <w:p w:rsidR="00BB222D" w:rsidRPr="004A6B08" w:rsidRDefault="00BB222D" w:rsidP="00210DD3">
      <w:pPr>
        <w:widowControl/>
        <w:spacing w:line="600" w:lineRule="exact"/>
        <w:ind w:firstLine="646"/>
        <w:jc w:val="left"/>
        <w:rPr>
          <w:rFonts w:ascii="微软雅黑" w:eastAsia="微软雅黑" w:hAnsi="微软雅黑" w:cs="宋体"/>
          <w:b/>
          <w:color w:val="2C3E50"/>
          <w:kern w:val="0"/>
          <w:sz w:val="18"/>
          <w:szCs w:val="18"/>
        </w:rPr>
      </w:pPr>
      <w:r w:rsidRPr="004A6B08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九、其他需说明的事项</w:t>
      </w:r>
    </w:p>
    <w:p w:rsidR="00BB222D" w:rsidRPr="00BB222D" w:rsidRDefault="00BB222D" w:rsidP="00210DD3">
      <w:pPr>
        <w:widowControl/>
        <w:spacing w:line="600" w:lineRule="exact"/>
        <w:ind w:firstLine="64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BB222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单位没有无政府性基金预算和国有资本经营预算。</w:t>
      </w:r>
    </w:p>
    <w:p w:rsidR="005E6931" w:rsidRPr="00BB222D" w:rsidRDefault="005E6931"/>
    <w:sectPr w:rsidR="005E6931" w:rsidRPr="00BB222D" w:rsidSect="00BB222D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0B2" w:rsidRDefault="009570B2" w:rsidP="00BB222D">
      <w:r>
        <w:separator/>
      </w:r>
    </w:p>
  </w:endnote>
  <w:endnote w:type="continuationSeparator" w:id="1">
    <w:p w:rsidR="009570B2" w:rsidRDefault="009570B2" w:rsidP="00BB2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0B2" w:rsidRDefault="009570B2" w:rsidP="00BB222D">
      <w:r>
        <w:separator/>
      </w:r>
    </w:p>
  </w:footnote>
  <w:footnote w:type="continuationSeparator" w:id="1">
    <w:p w:rsidR="009570B2" w:rsidRDefault="009570B2" w:rsidP="00BB2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596" w:rsidRDefault="00362596" w:rsidP="00473413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22D"/>
    <w:rsid w:val="0005595F"/>
    <w:rsid w:val="00210DD3"/>
    <w:rsid w:val="002151C7"/>
    <w:rsid w:val="002246FF"/>
    <w:rsid w:val="00260E92"/>
    <w:rsid w:val="002A303F"/>
    <w:rsid w:val="002D3EFC"/>
    <w:rsid w:val="00350859"/>
    <w:rsid w:val="00362596"/>
    <w:rsid w:val="00362CD3"/>
    <w:rsid w:val="003875E1"/>
    <w:rsid w:val="003F7224"/>
    <w:rsid w:val="00473413"/>
    <w:rsid w:val="004A6B08"/>
    <w:rsid w:val="00582BF1"/>
    <w:rsid w:val="005C0724"/>
    <w:rsid w:val="005D2B26"/>
    <w:rsid w:val="005E6931"/>
    <w:rsid w:val="006237DF"/>
    <w:rsid w:val="006750FE"/>
    <w:rsid w:val="006B2217"/>
    <w:rsid w:val="006E3A92"/>
    <w:rsid w:val="007C2863"/>
    <w:rsid w:val="00850172"/>
    <w:rsid w:val="0086361E"/>
    <w:rsid w:val="00877FFE"/>
    <w:rsid w:val="009570B2"/>
    <w:rsid w:val="009A46E7"/>
    <w:rsid w:val="00AB709A"/>
    <w:rsid w:val="00AF303D"/>
    <w:rsid w:val="00B07E5B"/>
    <w:rsid w:val="00BB222D"/>
    <w:rsid w:val="00CF266D"/>
    <w:rsid w:val="00E457DB"/>
    <w:rsid w:val="00E8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2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2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2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222D"/>
    <w:rPr>
      <w:sz w:val="18"/>
      <w:szCs w:val="18"/>
    </w:rPr>
  </w:style>
  <w:style w:type="paragraph" w:styleId="a5">
    <w:name w:val="Normal (Web)"/>
    <w:basedOn w:val="a"/>
    <w:uiPriority w:val="99"/>
    <w:unhideWhenUsed/>
    <w:rsid w:val="00BB2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222D"/>
  </w:style>
  <w:style w:type="character" w:styleId="a6">
    <w:name w:val="Strong"/>
    <w:basedOn w:val="a0"/>
    <w:uiPriority w:val="22"/>
    <w:qFormat/>
    <w:rsid w:val="00BB22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2017-06-06T08:45:00Z</dcterms:created>
  <dcterms:modified xsi:type="dcterms:W3CDTF">2017-06-26T03:34:00Z</dcterms:modified>
</cp:coreProperties>
</file>