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BC692C">
      <w:pPr>
        <w:spacing w:before="0" w:after="0" w:line="240" w:lineRule="auto"/>
        <w:jc w:val="center"/>
        <w:rPr>
          <w:rFonts w:ascii="Times New Roman" w:hAnsi="Times New Roman" w:eastAsia="宋体" w:cs="Times New Roman"/>
          <w:b/>
          <w:bCs/>
          <w:color w:val="000000"/>
          <w:sz w:val="40"/>
          <w:szCs w:val="40"/>
          <w:lang w:eastAsia="zh-CN"/>
        </w:rPr>
      </w:pPr>
      <w:r>
        <w:rPr>
          <w:rFonts w:ascii="Times New Roman" w:hAnsi="Times New Roman" w:eastAsia="宋体" w:cs="Times New Roman"/>
          <w:b/>
          <w:bCs/>
          <w:color w:val="000000"/>
          <w:sz w:val="40"/>
          <w:szCs w:val="40"/>
          <w:lang w:eastAsia="zh-CN"/>
        </w:rPr>
        <w:t>Yaw 自瞄 LQR-ESO 控制器数学公式说明</w:t>
      </w:r>
    </w:p>
    <w:p w14:paraId="331B75EE">
      <w:pPr>
        <w:spacing w:before="0" w:after="0" w:line="240" w:lineRule="auto"/>
        <w:rPr>
          <w:rFonts w:ascii="Times New Roman" w:hAnsi="Times New Roman" w:eastAsia="宋体" w:cs="Times New Roman"/>
          <w:color w:val="000000"/>
          <w:sz w:val="28"/>
          <w:szCs w:val="28"/>
          <w:lang w:eastAsia="zh-CN"/>
        </w:rPr>
      </w:pPr>
      <w:r>
        <w:rPr>
          <w:rFonts w:ascii="Times New Roman" w:hAnsi="Times New Roman" w:eastAsia="宋体" w:cs="Times New Roman"/>
          <w:color w:val="000000"/>
          <w:sz w:val="28"/>
          <w:szCs w:val="28"/>
          <w:lang w:eastAsia="zh-CN"/>
        </w:rPr>
        <w:t>状态空间模型、参考轨迹、LQR 控制律与扩张状态观测器</w:t>
      </w:r>
    </w:p>
    <w:p w14:paraId="3F880719">
      <w:pPr>
        <w:spacing w:before="0" w:after="0" w:line="240" w:lineRule="auto"/>
        <w:rPr>
          <w:rFonts w:ascii="Times New Roman" w:hAnsi="Times New Roman" w:eastAsia="宋体" w:cs="Times New Roman"/>
          <w:color w:val="000000"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b/>
          <w:color w:val="000000"/>
          <w:sz w:val="24"/>
          <w:szCs w:val="24"/>
          <w:lang w:eastAsia="zh-CN"/>
        </w:rPr>
        <w:t>单位</w:t>
      </w:r>
      <w:r>
        <w:rPr>
          <w:rFonts w:ascii="Times New Roman" w:hAnsi="Times New Roman" w:eastAsia="宋体" w:cs="Times New Roman"/>
          <w:b/>
          <w:color w:val="000000"/>
          <w:sz w:val="24"/>
          <w:szCs w:val="24"/>
          <w:lang w:eastAsia="zh-CN"/>
        </w:rPr>
        <w:t>：</w:t>
      </w:r>
      <w:r>
        <w:rPr>
          <w:rFonts w:ascii="Times New Roman" w:hAnsi="Times New Roman" w:eastAsia="宋体" w:cs="Times New Roman"/>
          <w:color w:val="000000"/>
          <w:sz w:val="24"/>
          <w:szCs w:val="24"/>
          <w:lang w:eastAsia="zh-CN"/>
        </w:rPr>
        <w:t>南京理工大学</w:t>
      </w:r>
    </w:p>
    <w:p w14:paraId="6085298A">
      <w:pPr>
        <w:spacing w:before="0" w:after="0" w:line="240" w:lineRule="auto"/>
        <w:rPr>
          <w:rFonts w:ascii="Times New Roman" w:hAnsi="Times New Roman" w:eastAsia="宋体" w:cs="Times New Roman"/>
          <w:color w:val="000000"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b/>
          <w:color w:val="000000"/>
          <w:sz w:val="24"/>
          <w:szCs w:val="24"/>
          <w:lang w:eastAsia="zh-CN"/>
        </w:rPr>
        <w:t>作者</w:t>
      </w:r>
      <w:r>
        <w:rPr>
          <w:rFonts w:ascii="Times New Roman" w:hAnsi="Times New Roman" w:eastAsia="宋体" w:cs="Times New Roman"/>
          <w:b/>
          <w:color w:val="000000"/>
          <w:sz w:val="24"/>
          <w:szCs w:val="24"/>
          <w:lang w:eastAsia="zh-CN"/>
        </w:rPr>
        <w:t>：</w:t>
      </w:r>
      <w:r>
        <w:rPr>
          <w:rFonts w:ascii="Times New Roman" w:hAnsi="Times New Roman" w:eastAsia="宋体" w:cs="Times New Roman"/>
          <w:color w:val="000000"/>
          <w:sz w:val="24"/>
          <w:szCs w:val="24"/>
          <w:lang w:eastAsia="zh-CN"/>
        </w:rPr>
        <w:t>戴子轩</w:t>
      </w:r>
    </w:p>
    <w:p w14:paraId="6F977CB4">
      <w:pPr>
        <w:spacing w:before="0" w:after="0" w:line="240" w:lineRule="auto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电话：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18262201952</w:t>
      </w:r>
    </w:p>
    <w:p w14:paraId="219802F9">
      <w:pPr>
        <w:spacing w:before="0" w:after="0" w:line="240" w:lineRule="auto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邮箱：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daizeming24@gmail.com</w:t>
      </w:r>
    </w:p>
    <w:p w14:paraId="5FB6CE6A">
      <w:pPr>
        <w:spacing w:before="0" w:after="0" w:line="240" w:lineRule="auto"/>
        <w:rPr>
          <w:rFonts w:ascii="Times New Roman" w:hAnsi="Times New Roman" w:eastAsia="宋体" w:cs="Times New Roman"/>
          <w:color w:val="000000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  <w:lang w:eastAsia="zh-CN"/>
        </w:rPr>
        <w:t>日期：</w:t>
      </w:r>
      <w:r>
        <w:rPr>
          <w:rFonts w:ascii="Times New Roman" w:hAnsi="Times New Roman" w:eastAsia="宋体" w:cs="Times New Roman"/>
          <w:color w:val="000000"/>
          <w:sz w:val="24"/>
          <w:szCs w:val="24"/>
          <w:lang w:eastAsia="zh-CN"/>
        </w:rPr>
        <w:t>2026/5/16</w:t>
      </w:r>
    </w:p>
    <w:p w14:paraId="0319AF0C">
      <w:pPr>
        <w:pBdr>
          <w:bottom w:val="single" w:color="B7C9DD" w:sz="8" w:space="1"/>
        </w:pBdr>
        <w:spacing w:before="0" w:after="0" w:line="240" w:lineRule="auto"/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</w:pPr>
      <w:r>
        <w:rPr>
          <w:rFonts w:hint="eastAsia" w:cs="Times New Roman"/>
          <w:b/>
          <w:bCs/>
          <w:color w:val="000000"/>
          <w:sz w:val="24"/>
          <w:szCs w:val="24"/>
          <w:lang w:val="en-US" w:eastAsia="zh-CN"/>
        </w:rPr>
        <w:t>指导老师：杨龙飞</w:t>
      </w:r>
      <w:bookmarkStart w:id="0" w:name="_GoBack"/>
      <w:bookmarkEnd w:id="0"/>
    </w:p>
    <w:p w14:paraId="0B5D207A">
      <w:pPr>
        <w:spacing w:before="0" w:after="0" w:line="240" w:lineRule="auto"/>
        <w:rPr>
          <w:rFonts w:ascii="Times New Roman" w:hAnsi="Times New Roman" w:eastAsia="宋体" w:cs="Times New Roman"/>
          <w:color w:val="000000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lang w:eastAsia="zh-CN"/>
        </w:rPr>
        <w:t>本文讨论 yaw 轴自瞄控制器。为便于理论说明，所有模型均使用标准数学符号表示，不列具体参数数值。实际实现中，参考轨迹、前馈、LQR、ESO 补偿在同一周期内顺序计算。</w:t>
      </w:r>
    </w:p>
    <w:p w14:paraId="0EB395E2">
      <w:pPr>
        <w:pStyle w:val="143"/>
        <w:numPr>
          <w:ilvl w:val="0"/>
          <w:numId w:val="7"/>
        </w:numPr>
        <w:spacing w:before="0" w:after="0" w:line="240" w:lineRule="auto"/>
        <w:rPr>
          <w:rFonts w:ascii="Times New Roman" w:hAnsi="Times New Roman" w:eastAsia="宋体" w:cs="Times New Roman"/>
          <w:b/>
          <w:bCs/>
          <w:color w:val="000000"/>
          <w:sz w:val="28"/>
          <w:szCs w:val="28"/>
          <w:lang w:eastAsia="zh-CN"/>
        </w:rPr>
      </w:pPr>
      <w:r>
        <w:rPr>
          <w:rFonts w:hint="eastAsia" w:ascii="Times New Roman" w:hAnsi="Times New Roman" w:eastAsia="宋体" w:cs="Times New Roman"/>
          <w:b/>
          <w:bCs/>
          <w:color w:val="000000"/>
          <w:sz w:val="28"/>
          <w:szCs w:val="28"/>
          <w:lang w:eastAsia="zh-CN"/>
        </w:rPr>
        <w:t>被控对象及状态空间模型</w:t>
      </w:r>
    </w:p>
    <w:p w14:paraId="1A89B3FF">
      <w:pPr>
        <w:spacing w:before="0" w:after="0" w:line="240" w:lineRule="auto"/>
        <w:ind w:firstLine="360"/>
        <w:rPr>
          <w:rFonts w:ascii="Times New Roman" w:hAnsi="Times New Roman" w:eastAsia="宋体" w:cs="Times New Roman"/>
          <w:color w:val="000000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lang w:eastAsia="zh-CN"/>
        </w:rPr>
        <w:t xml:space="preserve">yaw 电机及其负载可抽象为二阶转动系统。设 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θ</w:t>
      </w:r>
      <w:r>
        <w:rPr>
          <w:rFonts w:ascii="Times New Roman" w:hAnsi="Times New Roman" w:eastAsia="宋体" w:cs="Times New Roman"/>
          <w:color w:val="000000"/>
          <w:sz w:val="24"/>
          <w:szCs w:val="24"/>
          <w:lang w:eastAsia="zh-CN"/>
        </w:rPr>
        <w:t xml:space="preserve"> 为角位置，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ω</w:t>
      </w:r>
      <w:r>
        <w:rPr>
          <w:rFonts w:ascii="Times New Roman" w:hAnsi="Times New Roman" w:eastAsia="宋体" w:cs="Times New Roman"/>
          <w:color w:val="000000"/>
          <w:sz w:val="24"/>
          <w:szCs w:val="24"/>
          <w:lang w:eastAsia="zh-CN"/>
        </w:rPr>
        <w:t xml:space="preserve"> 为角速度，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τ</w:t>
      </w:r>
      <w:r>
        <w:rPr>
          <w:rFonts w:ascii="Times New Roman" w:hAnsi="Times New Roman" w:eastAsia="宋体" w:cs="Times New Roman"/>
          <w:color w:val="000000"/>
          <w:sz w:val="24"/>
          <w:szCs w:val="24"/>
          <w:lang w:eastAsia="zh-CN"/>
        </w:rPr>
        <w:t xml:space="preserve"> 为控制力矩，d 为等效总扰动，则连续时间动力学为：</w:t>
      </w:r>
    </w:p>
    <w:p w14:paraId="2FCAEB02">
      <w:pPr>
        <w:pStyle w:val="164"/>
        <w:spacing w:before="0" w:after="0" w:line="240" w:lineRule="auto"/>
        <w:rPr>
          <w:rFonts w:ascii="Times New Roman" w:hAnsi="Times New Roman" w:eastAsia="宋体" w:cs="Times New Roman"/>
          <w:color w:val="000000"/>
          <w:sz w:val="24"/>
          <w:szCs w:val="24"/>
        </w:rPr>
      </w:pPr>
      <m:oMathPara>
        <m:oMathParaPr>
          <m:jc m:val="left"/>
        </m:oMathParaPr>
        <m:oMath>
          <m:r>
            <m:rPr/>
            <m:t>J</m:t>
          </m:r>
          <m:f>
            <m:fPr/>
            <m:num>
              <m:sSup>
                <m:sSupPr/>
                <m:e>
                  <m:r>
                    <m:rPr/>
                    <m:t>d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/>
                <m:t>θ</m:t>
              </m:r>
            </m:num>
            <m:den>
              <m:r>
                <m:rPr/>
                <m:t>d</m:t>
              </m:r>
              <m:sSup>
                <m:sSupPr/>
                <m:e>
                  <m:r>
                    <m:rPr/>
                    <m:t>t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rPr/>
            <m:t>B</m:t>
          </m:r>
          <m:f>
            <m:fPr/>
            <m:num>
              <m:r>
                <m:rPr/>
                <m:t>dθ</m:t>
              </m:r>
            </m:num>
            <m:den>
              <m:r>
                <m:rPr/>
                <m:t>dt</m:t>
              </m:r>
            </m:den>
          </m:f>
          <m:r>
            <m:rPr>
              <m:sty m:val="p"/>
            </m:rPr>
            <m:t>=</m:t>
          </m:r>
          <m:r>
            <m:rPr/>
            <m:t>τ</m:t>
          </m:r>
          <m:r>
            <m:rPr>
              <m:sty m:val="p"/>
            </m:rPr>
            <m:t>+</m:t>
          </m:r>
          <m:r>
            <m:rPr/>
            <m:t>d</m:t>
          </m:r>
        </m:oMath>
      </m:oMathPara>
    </w:p>
    <w:p w14:paraId="16A671C0">
      <w:pPr>
        <w:pStyle w:val="164"/>
        <w:spacing w:before="0" w:after="0" w:line="240" w:lineRule="auto"/>
        <w:rPr>
          <w:rFonts w:ascii="Times New Roman" w:hAnsi="Times New Roman" w:eastAsia="宋体" w:cs="Times New Roman"/>
          <w:color w:val="000000"/>
          <w:sz w:val="24"/>
          <w:szCs w:val="24"/>
          <w:lang w:eastAsia="zh-CN"/>
        </w:rPr>
      </w:pPr>
      <m:oMathPara>
        <m:oMathParaPr>
          <m:jc m:val="left"/>
        </m:oMathParaPr>
        <m:oMath>
          <m:r>
            <m:rPr/>
            <m:t>J</m:t>
          </m:r>
          <m:f>
            <m:fPr/>
            <m:num>
              <m:r>
                <m:rPr/>
                <m:t>dω</m:t>
              </m:r>
            </m:num>
            <m:den>
              <m:r>
                <m:rPr/>
                <m:t>dt</m:t>
              </m:r>
            </m:den>
          </m:f>
          <m:r>
            <m:rPr>
              <m:sty m:val="p"/>
            </m:rPr>
            <m:t>+</m:t>
          </m:r>
          <m:r>
            <m:rPr/>
            <m:t>Bω</m:t>
          </m:r>
          <m:r>
            <m:rPr>
              <m:sty m:val="p"/>
            </m:rPr>
            <m:t>=</m:t>
          </m:r>
          <m:r>
            <m:rPr/>
            <m:t>τ</m:t>
          </m:r>
          <m:r>
            <m:rPr>
              <m:sty m:val="p"/>
            </m:rPr>
            <m:t>+</m:t>
          </m:r>
          <m:r>
            <m:rPr/>
            <m:t>d</m:t>
          </m:r>
        </m:oMath>
      </m:oMathPara>
    </w:p>
    <w:p w14:paraId="0A668F8F">
      <w:pPr>
        <w:spacing w:before="0" w:after="0" w:line="240" w:lineRule="auto"/>
        <w:rPr>
          <w:rFonts w:ascii="Times New Roman" w:hAnsi="Times New Roman" w:eastAsia="宋体" w:cs="Times New Roman"/>
          <w:color w:val="000000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lang w:eastAsia="zh-CN"/>
        </w:rPr>
        <w:t>取状态向量：</w:t>
      </w:r>
    </w:p>
    <w:p w14:paraId="1B9E10A5">
      <w:pPr>
        <w:pStyle w:val="164"/>
        <w:spacing w:before="0" w:after="0" w:line="240" w:lineRule="auto"/>
        <w:rPr>
          <w:rFonts w:ascii="Times New Roman" w:hAnsi="Times New Roman" w:eastAsia="宋体" w:cs="Times New Roman"/>
          <w:color w:val="000000"/>
          <w:sz w:val="24"/>
          <w:szCs w:val="24"/>
          <w:lang w:eastAsia="zh-CN"/>
        </w:rPr>
      </w:pPr>
      <m:oMathPara>
        <m:oMathParaPr>
          <m:jc m:val="left"/>
        </m:oMathParaPr>
        <m:oMath>
          <m:r>
            <m:rPr/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</m:mPr>
                <m:mr>
                  <m:e>
                    <m:r>
                      <m:rPr/>
                      <m:t>θ</m:t>
                    </m:r>
                  </m:e>
                </m:mr>
                <m:mr>
                  <m:e>
                    <m:r>
                      <m:rPr/>
                      <m:t>ω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rPr/>
            <m:t>  ω</m:t>
          </m:r>
          <m:r>
            <m:rPr>
              <m:sty m:val="p"/>
            </m:rPr>
            <m:t>=</m:t>
          </m:r>
          <m:f>
            <m:fPr/>
            <m:num>
              <m:r>
                <m:rPr/>
                <m:t>dθ</m:t>
              </m:r>
            </m:num>
            <m:den>
              <m:r>
                <m:rPr/>
                <m:t>dt</m:t>
              </m:r>
            </m:den>
          </m:f>
        </m:oMath>
      </m:oMathPara>
    </w:p>
    <w:p w14:paraId="19F141CE">
      <w:pPr>
        <w:pStyle w:val="164"/>
        <w:spacing w:before="0" w:after="0" w:line="240" w:lineRule="auto"/>
        <w:ind w:left="0"/>
        <w:rPr>
          <w:rFonts w:ascii="Times New Roman" w:hAnsi="Times New Roman" w:eastAsia="宋体" w:cs="Times New Roman"/>
          <w:color w:val="000000"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  <w:lang w:eastAsia="zh-CN"/>
        </w:rPr>
        <w:t>取输入向量</w:t>
      </w:r>
    </w:p>
    <w:p w14:paraId="57762BFA">
      <w:pPr>
        <w:pStyle w:val="164"/>
        <w:spacing w:before="0" w:after="0" w:line="240" w:lineRule="auto"/>
        <w:ind w:left="0"/>
        <w:rPr>
          <w:rFonts w:ascii="Times New Roman" w:hAnsi="Times New Roman" w:eastAsia="宋体" w:cs="Times New Roman"/>
          <w:color w:val="000000"/>
          <w:sz w:val="24"/>
          <w:szCs w:val="24"/>
          <w:lang w:eastAsia="zh-CN"/>
        </w:rPr>
      </w:pPr>
      <m:oMathPara>
        <m:oMathParaPr>
          <m:jc m:val="left"/>
        </m:oMathParaPr>
        <m:oMath>
          <m:r>
            <m:rPr/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</m:mPr>
                <m:mr>
                  <m:e>
                    <m:r>
                      <m:rPr/>
                      <m:t>τ</m:t>
                    </m:r>
                  </m:e>
                </m:mr>
                <m:mr>
                  <m:e>
                    <m:r>
                      <m:rPr/>
                      <m:t>d</m:t>
                    </m:r>
                  </m:e>
                </m:mr>
              </m:m>
            </m:e>
          </m:d>
        </m:oMath>
      </m:oMathPara>
    </w:p>
    <w:p w14:paraId="6B81F77D">
      <w:pPr>
        <w:spacing w:before="0" w:after="0" w:line="240" w:lineRule="auto"/>
        <w:rPr>
          <w:rFonts w:ascii="Times New Roman" w:hAnsi="Times New Roman" w:eastAsia="宋体" w:cs="Times New Roman"/>
          <w:color w:val="000000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lang w:eastAsia="zh-CN"/>
        </w:rPr>
        <w:t>可写为标准状态空间形式：</w:t>
      </w:r>
    </w:p>
    <w:p w14:paraId="74005A96">
      <w:pPr>
        <w:pStyle w:val="164"/>
        <w:spacing w:before="0" w:after="0" w:line="240" w:lineRule="auto"/>
        <w:rPr>
          <w:rFonts w:ascii="Times New Roman" w:hAnsi="Times New Roman" w:eastAsia="宋体" w:cs="Times New Roman"/>
          <w:color w:val="000000"/>
          <w:sz w:val="24"/>
          <w:szCs w:val="24"/>
          <w:lang w:eastAsia="zh-CN"/>
        </w:rPr>
      </w:pPr>
      <m:oMathPara>
        <m:oMathParaPr>
          <m:jc m:val="left"/>
        </m:oMathParaPr>
        <m:oMath>
          <m:acc>
            <m:accPr>
              <m:chr m:val="̇"/>
            </m:accPr>
            <m:e>
              <m:r>
                <m:rPr/>
                <m:t>x</m:t>
              </m:r>
            </m:e>
          </m:acc>
          <m:r>
            <m:rPr>
              <m:sty m:val="p"/>
            </m:rPr>
            <m:t>=</m:t>
          </m:r>
          <m:r>
            <m:rPr/>
            <m:t>Ax</m:t>
          </m:r>
          <m:r>
            <m:rPr>
              <m:sty m:val="p"/>
            </m:rPr>
            <m:t>+</m:t>
          </m:r>
          <m:r>
            <m:rPr/>
            <m:t>Bu</m:t>
          </m:r>
        </m:oMath>
      </m:oMathPara>
    </w:p>
    <w:p w14:paraId="4CA02726">
      <w:pPr>
        <w:pStyle w:val="164"/>
        <w:spacing w:before="0" w:after="0" w:line="240" w:lineRule="auto"/>
        <w:rPr>
          <w:rFonts w:ascii="Times New Roman" w:hAnsi="Times New Roman" w:eastAsia="宋体" w:cs="Times New Roman"/>
          <w:color w:val="000000"/>
          <w:sz w:val="24"/>
          <w:szCs w:val="24"/>
          <w:lang w:eastAsia="zh-CN"/>
        </w:rPr>
      </w:pPr>
      <m:oMathPara>
        <m:oMathParaPr>
          <m:jc m:val="left"/>
        </m:oMathParaPr>
        <m:oMath>
          <m:r>
            <m:rPr/>
            <m:t>y</m:t>
          </m:r>
          <m:r>
            <m:rPr>
              <m:sty m:val="p"/>
            </m:rPr>
            <m:t>=</m:t>
          </m:r>
          <m:r>
            <m:rPr/>
            <m:t>Cx</m:t>
          </m:r>
        </m:oMath>
      </m:oMathPara>
    </w:p>
    <w:p w14:paraId="370AC3FB">
      <w:pPr>
        <w:spacing w:before="0" w:after="0" w:line="240" w:lineRule="auto"/>
        <w:rPr>
          <w:rFonts w:ascii="Times New Roman" w:hAnsi="Times New Roman" w:eastAsia="宋体" w:cs="Times New Roman"/>
          <w:color w:val="000000"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  <w:lang w:eastAsia="zh-CN"/>
        </w:rPr>
        <w:t>其中</w:t>
      </w:r>
    </w:p>
    <w:p w14:paraId="330D5298">
      <w:pPr>
        <w:pStyle w:val="164"/>
        <w:spacing w:before="0" w:after="0" w:line="240" w:lineRule="auto"/>
        <w:rPr>
          <w:rFonts w:ascii="Times New Roman" w:hAnsi="Times New Roman" w:eastAsia="宋体" w:cs="Times New Roman"/>
          <w:color w:val="000000"/>
          <w:sz w:val="24"/>
          <w:szCs w:val="24"/>
        </w:rPr>
      </w:pPr>
      <m:oMathPara>
        <m:oMathParaPr>
          <m:jc m:val="left"/>
        </m:oMathParaPr>
        <m:oMath>
          <m:r>
            <m:rPr/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</m:mPr>
                <m:mr>
                  <m:e>
                    <m:r>
                      <m:rPr/>
                      <m:t>0</m:t>
                    </m:r>
                  </m:e>
                  <m:e>
                    <m:r>
                      <m:rPr/>
                      <m:t>1</m:t>
                    </m:r>
                  </m:e>
                </m:mr>
                <m:mr>
                  <m:e>
                    <m:r>
                      <m:rPr/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/>
                      <m:num>
                        <m:r>
                          <m:rPr/>
                          <m:t>B</m:t>
                        </m:r>
                      </m:num>
                      <m:den>
                        <m:r>
                          <m:rPr/>
                          <m:t>J</m:t>
                        </m:r>
                      </m:den>
                    </m:f>
                  </m:e>
                </m:mr>
              </m:m>
            </m:e>
          </m:d>
        </m:oMath>
      </m:oMathPara>
    </w:p>
    <w:p w14:paraId="212665F7">
      <w:pPr>
        <w:pStyle w:val="164"/>
        <w:spacing w:before="0" w:after="0" w:line="240" w:lineRule="auto"/>
        <w:rPr>
          <w:rFonts w:ascii="Times New Roman" w:hAnsi="Times New Roman" w:eastAsia="宋体" w:cs="Times New Roman"/>
          <w:color w:val="000000"/>
          <w:sz w:val="24"/>
          <w:szCs w:val="24"/>
          <w:lang w:eastAsia="zh-CN"/>
        </w:rPr>
      </w:pPr>
      <m:oMathPara>
        <m:oMathParaPr>
          <m:jc m:val="left"/>
        </m:oMathParaPr>
        <m:oMath>
          <m:r>
            <m:rPr/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</m:mPr>
                <m:mr>
                  <m:e>
                    <m:r>
                      <m:rPr/>
                      <m:t>0</m:t>
                    </m:r>
                  </m:e>
                  <m:e>
                    <m:r>
                      <m:rPr/>
                      <m:t>0</m:t>
                    </m:r>
                  </m:e>
                </m:mr>
                <m:mr>
                  <m:e>
                    <m:f>
                      <m:fPr/>
                      <m:num>
                        <m:r>
                          <m:rPr/>
                          <m:t>1</m:t>
                        </m:r>
                      </m:num>
                      <m:den>
                        <m:r>
                          <m:rPr/>
                          <m:t>J</m:t>
                        </m:r>
                      </m:den>
                    </m:f>
                  </m:e>
                  <m:e>
                    <m:f>
                      <m:fPr/>
                      <m:num>
                        <m:r>
                          <m:rPr/>
                          <m:t>1</m:t>
                        </m:r>
                      </m:num>
                      <m:den>
                        <m:r>
                          <m:rPr/>
                          <m:t>J</m:t>
                        </m:r>
                      </m:den>
                    </m:f>
                  </m:e>
                </m:mr>
              </m:m>
            </m:e>
          </m:d>
        </m:oMath>
      </m:oMathPara>
    </w:p>
    <w:p w14:paraId="592278EA">
      <w:pPr>
        <w:pStyle w:val="164"/>
        <w:spacing w:before="0" w:after="0" w:line="240" w:lineRule="auto"/>
        <w:rPr>
          <w:rFonts w:ascii="Times New Roman" w:hAnsi="Times New Roman" w:eastAsia="宋体" w:cs="Times New Roman"/>
          <w:color w:val="000000"/>
          <w:sz w:val="24"/>
          <w:szCs w:val="24"/>
          <w:lang w:eastAsia="zh-CN"/>
        </w:rPr>
      </w:pPr>
      <m:oMathPara>
        <m:oMathParaPr>
          <m:jc m:val="left"/>
        </m:oMathParaPr>
        <m:oMath>
          <m:r>
            <m:rPr/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</m:mPr>
                <m:mr>
                  <m:e>
                    <m:r>
                      <m:rPr/>
                      <m:t>1</m:t>
                    </m:r>
                  </m:e>
                  <m:e>
                    <m:r>
                      <m:rPr/>
                      <m:t>0</m:t>
                    </m:r>
                  </m:e>
                </m:mr>
              </m:m>
            </m:e>
          </m:d>
        </m:oMath>
      </m:oMathPara>
    </w:p>
    <w:p w14:paraId="1A858E17">
      <w:pPr>
        <w:spacing w:before="0" w:after="0" w:line="240" w:lineRule="auto"/>
        <w:rPr>
          <w:rFonts w:ascii="Times New Roman" w:hAnsi="Times New Roman" w:eastAsia="宋体" w:cs="Times New Roman"/>
          <w:color w:val="000000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lang w:eastAsia="zh-CN"/>
        </w:rPr>
        <w:t>其中 J 表示等效转动惯量，B 表示等效粘性阻尼。自瞄模式下，J 和 B 取自瞄辨识模型对应的符号参数。</w:t>
      </w:r>
    </w:p>
    <w:p w14:paraId="10A8BD1C">
      <w:pPr>
        <w:pStyle w:val="143"/>
        <w:numPr>
          <w:ilvl w:val="0"/>
          <w:numId w:val="7"/>
        </w:numPr>
        <w:spacing w:before="0" w:after="0" w:line="240" w:lineRule="auto"/>
        <w:rPr>
          <w:rFonts w:ascii="Times New Roman" w:hAnsi="Times New Roman" w:eastAsia="宋体" w:cs="Times New Roman"/>
          <w:b/>
          <w:bCs/>
          <w:color w:val="000000"/>
          <w:sz w:val="28"/>
          <w:szCs w:val="28"/>
          <w:lang w:eastAsia="zh-CN"/>
        </w:rPr>
      </w:pPr>
      <w:r>
        <w:rPr>
          <w:rFonts w:hint="eastAsia" w:ascii="Times New Roman" w:hAnsi="Times New Roman" w:eastAsia="宋体" w:cs="Times New Roman"/>
          <w:b/>
          <w:bCs/>
          <w:color w:val="000000"/>
          <w:sz w:val="28"/>
          <w:szCs w:val="28"/>
          <w:lang w:eastAsia="zh-CN"/>
        </w:rPr>
        <w:t>自瞄参考轨迹</w:t>
      </w:r>
    </w:p>
    <w:p w14:paraId="346B89DA">
      <w:pPr>
        <w:spacing w:before="0" w:after="0" w:line="240" w:lineRule="auto"/>
        <w:rPr>
          <w:rFonts w:ascii="Times New Roman" w:hAnsi="Times New Roman" w:eastAsia="宋体" w:cs="Times New Roman"/>
          <w:color w:val="000000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lang w:eastAsia="zh-CN"/>
        </w:rPr>
        <w:t>视觉侧给出连续时间角位置、角速度和角加速度参考，控制器按连续时间参考轨迹进行跟踪：</w:t>
      </w:r>
    </w:p>
    <w:p w14:paraId="50C648D0">
      <w:pPr>
        <w:pStyle w:val="164"/>
        <w:spacing w:before="0" w:after="0" w:line="240" w:lineRule="auto"/>
        <w:rPr>
          <w:rFonts w:ascii="Times New Roman" w:hAnsi="Times New Roman" w:eastAsia="宋体" w:cs="Times New Roman"/>
          <w:color w:val="000000"/>
          <w:sz w:val="24"/>
          <w:szCs w:val="24"/>
          <w:lang w:eastAsia="zh-CN"/>
        </w:rPr>
      </w:pPr>
      <m:oMathPara>
        <m:oMathParaPr>
          <m:jc m:val="left"/>
        </m:oMathParaPr>
        <m:oMath>
          <m:r>
            <m:rPr/>
            <m:t>r</m:t>
          </m:r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)=</m:t>
          </m:r>
          <m:d>
            <m:dPr>
              <m:begChr m:val="["/>
              <m:sepChr m:val=""/>
              <m:endChr m:val="]"/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</m:mPr>
                <m:mr>
                  <m:e>
                    <m:sSub>
                      <m:sSubPr/>
                      <m:e>
                        <m:r>
                          <m:rPr/>
                          <m:t>θ</m:t>
                        </m:r>
                      </m:e>
                      <m:sub>
                        <m:r>
                          <m:rPr/>
                          <m:t>r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rPr/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sSub>
                      <m:sSubPr/>
                      <m:e>
                        <m:r>
                          <m:rPr/>
                          <m:t>ω</m:t>
                        </m:r>
                      </m:e>
                      <m:sub>
                        <m:r>
                          <m:rPr/>
                          <m:t>r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rPr/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sSub>
                      <m:sSubPr/>
                      <m:e>
                        <m:r>
                          <m:rPr/>
                          <m:t>α</m:t>
                        </m:r>
                      </m:e>
                      <m:sub>
                        <m:r>
                          <m:rPr/>
                          <m:t>r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rPr/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 w14:paraId="00D7A236">
      <w:pPr>
        <w:pStyle w:val="164"/>
        <w:spacing w:before="0" w:after="0" w:line="240" w:lineRule="auto"/>
        <w:rPr>
          <w:rFonts w:ascii="Times New Roman" w:hAnsi="Times New Roman" w:eastAsia="宋体" w:cs="Times New Roman"/>
          <w:color w:val="000000"/>
          <w:sz w:val="24"/>
          <w:szCs w:val="24"/>
        </w:rPr>
      </w:pPr>
      <m:oMathPara>
        <m:oMathParaPr>
          <m:jc m:val="left"/>
        </m:oMathParaPr>
        <m:oMath>
          <m:sSub>
            <m:sSubPr/>
            <m:e>
              <m:r>
                <m:rPr/>
                <m:t>ω</m:t>
              </m:r>
            </m:e>
            <m:sub>
              <m:r>
                <m:rPr/>
                <m:t>r</m:t>
              </m:r>
            </m:sub>
          </m:sSub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)=</m:t>
          </m:r>
          <m:f>
            <m:fPr/>
            <m:num>
              <m:r>
                <m:rPr/>
                <m:t>d</m:t>
              </m:r>
              <m:sSub>
                <m:sSubPr/>
                <m:e>
                  <m:r>
                    <m:rPr/>
                    <m:t>θ</m:t>
                  </m:r>
                </m:e>
                <m:sub>
                  <m:r>
                    <m:rPr/>
                    <m:t>r</m:t>
                  </m:r>
                </m:sub>
              </m:sSub>
              <m:r>
                <m:rPr>
                  <m:sty m:val="p"/>
                </m:rPr>
                <m:t>(</m:t>
              </m:r>
              <m:r>
                <m:rPr/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/>
                <m:t>dt</m:t>
              </m:r>
            </m:den>
          </m:f>
        </m:oMath>
      </m:oMathPara>
    </w:p>
    <w:p w14:paraId="6B76A7DD">
      <w:pPr>
        <w:pStyle w:val="164"/>
        <w:spacing w:before="0" w:after="0" w:line="240" w:lineRule="auto"/>
        <w:rPr>
          <w:rFonts w:ascii="Times New Roman" w:hAnsi="Times New Roman" w:eastAsia="宋体" w:cs="Times New Roman"/>
          <w:color w:val="000000"/>
          <w:sz w:val="24"/>
          <w:szCs w:val="24"/>
        </w:rPr>
      </w:pPr>
      <m:oMathPara>
        <m:oMathParaPr>
          <m:jc m:val="left"/>
        </m:oMathParaPr>
        <m:oMath>
          <m:sSub>
            <m:sSubPr/>
            <m:e>
              <m:r>
                <m:rPr/>
                <m:t>α</m:t>
              </m:r>
            </m:e>
            <m:sub>
              <m:r>
                <m:rPr/>
                <m:t>r</m:t>
              </m:r>
            </m:sub>
          </m:sSub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)=</m:t>
          </m:r>
          <m:f>
            <m:fPr/>
            <m:num>
              <m:r>
                <m:rPr/>
                <m:t>d</m:t>
              </m:r>
              <m:sSub>
                <m:sSubPr/>
                <m:e>
                  <m:r>
                    <m:rPr/>
                    <m:t>ω</m:t>
                  </m:r>
                </m:e>
                <m:sub>
                  <m:r>
                    <m:rPr/>
                    <m:t>r</m:t>
                  </m:r>
                </m:sub>
              </m:sSub>
              <m:r>
                <m:rPr>
                  <m:sty m:val="p"/>
                </m:rPr>
                <m:t>(</m:t>
              </m:r>
              <m:r>
                <m:rPr/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/>
                <m:t>dt</m:t>
              </m:r>
            </m:den>
          </m:f>
          <m:r>
            <m:rPr>
              <m:sty m:val="p"/>
            </m:rPr>
            <m:t>=</m:t>
          </m:r>
          <m:f>
            <m:fPr/>
            <m:num>
              <m:sSup>
                <m:sSupPr/>
                <m:e>
                  <m:r>
                    <m:rPr/>
                    <m:t>d</m:t>
                  </m:r>
                </m:e>
                <m:sup>
                  <m:r>
                    <m:rPr/>
                    <m:t>2</m:t>
                  </m:r>
                </m:sup>
              </m:sSup>
              <m:sSub>
                <m:sSubPr/>
                <m:e>
                  <m:r>
                    <m:rPr/>
                    <m:t>θ</m:t>
                  </m:r>
                </m:e>
                <m:sub>
                  <m:r>
                    <m:rPr/>
                    <m:t>r</m:t>
                  </m:r>
                </m:sub>
              </m:sSub>
              <m:r>
                <m:rPr>
                  <m:sty m:val="p"/>
                </m:rPr>
                <m:t>(</m:t>
              </m:r>
              <m:r>
                <m:rPr/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/>
                <m:t>d</m:t>
              </m:r>
              <m:sSup>
                <m:sSupPr/>
                <m:e>
                  <m:r>
                    <m:rPr/>
                    <m:t>t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</m:oMath>
      </m:oMathPara>
    </w:p>
    <w:p w14:paraId="4212B69B">
      <w:pPr>
        <w:spacing w:before="0" w:after="0" w:line="240" w:lineRule="auto"/>
        <w:rPr>
          <w:rFonts w:ascii="Times New Roman" w:hAnsi="Times New Roman" w:eastAsia="宋体" w:cs="Times New Roman"/>
          <w:color w:val="000000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lang w:eastAsia="zh-CN"/>
        </w:rPr>
        <w:t>跟踪误差采用测量值减参考值的符号约定：</w:t>
      </w:r>
    </w:p>
    <w:p w14:paraId="62F43E22">
      <w:pPr>
        <w:pStyle w:val="164"/>
        <w:spacing w:before="0" w:after="0" w:line="240" w:lineRule="auto"/>
        <w:rPr>
          <w:rFonts w:ascii="Times New Roman" w:hAnsi="Times New Roman" w:eastAsia="宋体" w:cs="Times New Roman"/>
          <w:color w:val="000000"/>
          <w:sz w:val="24"/>
          <w:szCs w:val="24"/>
        </w:rPr>
      </w:pPr>
      <m:oMathPara>
        <m:oMathParaPr>
          <m:jc m:val="left"/>
        </m:oMathParaPr>
        <m:oMath>
          <m:sSub>
            <m:sSubPr/>
            <m:e>
              <m:r>
                <m:rPr/>
                <m:t>e</m:t>
              </m:r>
            </m:e>
            <m:sub>
              <m:r>
                <m:rPr/>
                <m:t>θ</m:t>
              </m:r>
            </m:sub>
          </m:sSub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)=</m:t>
          </m:r>
          <m:r>
            <m:rPr/>
            <m:t>θ</m:t>
          </m:r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)−</m:t>
          </m:r>
          <m:sSub>
            <m:sSubPr/>
            <m:e>
              <m:r>
                <m:rPr/>
                <m:t>θ</m:t>
              </m:r>
            </m:e>
            <m:sub>
              <m:r>
                <m:rPr/>
                <m:t>r</m:t>
              </m:r>
            </m:sub>
          </m:sSub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),</m:t>
          </m:r>
          <m:r>
            <m:rPr/>
            <m:t>  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ω</m:t>
              </m:r>
            </m:sub>
          </m:sSub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)=</m:t>
          </m:r>
          <m:r>
            <m:rPr/>
            <m:t>ω</m:t>
          </m:r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)−</m:t>
          </m:r>
          <m:sSub>
            <m:sSubPr/>
            <m:e>
              <m:r>
                <m:rPr/>
                <m:t>ω</m:t>
              </m:r>
            </m:e>
            <m:sub>
              <m:r>
                <m:rPr/>
                <m:t>r</m:t>
              </m:r>
            </m:sub>
          </m:sSub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</m:t>
          </m:r>
        </m:oMath>
      </m:oMathPara>
    </w:p>
    <w:p w14:paraId="4F0098C9">
      <w:pPr>
        <w:spacing w:before="0" w:after="0" w:line="240" w:lineRule="auto"/>
        <w:rPr>
          <w:rFonts w:ascii="Times New Roman" w:hAnsi="Times New Roman" w:eastAsia="宋体" w:cs="Times New Roman"/>
          <w:b/>
          <w:bCs/>
          <w:color w:val="000000"/>
          <w:sz w:val="28"/>
          <w:szCs w:val="28"/>
          <w:lang w:eastAsia="zh-CN"/>
        </w:rPr>
      </w:pPr>
      <w:r>
        <w:rPr>
          <w:rFonts w:ascii="Times New Roman" w:hAnsi="Times New Roman" w:eastAsia="宋体" w:cs="Times New Roman"/>
          <w:b/>
          <w:bCs/>
          <w:color w:val="000000"/>
          <w:sz w:val="28"/>
          <w:szCs w:val="28"/>
          <w:lang w:eastAsia="zh-CN"/>
        </w:rPr>
        <w:t>3.</w:t>
      </w:r>
      <w:r>
        <w:rPr>
          <w:rFonts w:hint="eastAsia" w:ascii="Times New Roman" w:hAnsi="Times New Roman" w:eastAsia="宋体" w:cs="Times New Roman"/>
          <w:b/>
          <w:bCs/>
          <w:color w:val="000000"/>
          <w:sz w:val="28"/>
          <w:szCs w:val="28"/>
          <w:lang w:eastAsia="zh-CN"/>
        </w:rPr>
        <w:t>LQR控制律（极点配置）与扭矩前馈</w:t>
      </w:r>
    </w:p>
    <w:p w14:paraId="64F22937">
      <w:pPr>
        <w:spacing w:before="0" w:after="0" w:line="240" w:lineRule="auto"/>
        <w:rPr>
          <w:rFonts w:ascii="Times New Roman" w:hAnsi="Times New Roman" w:eastAsia="宋体" w:cs="Times New Roman"/>
          <w:color w:val="000000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lang w:eastAsia="zh-CN"/>
        </w:rPr>
        <w:t>自瞄模式下，前馈由目标角加速度、目标角速度和库仑摩擦补偿组成：</w:t>
      </w:r>
    </w:p>
    <w:p w14:paraId="392406C9">
      <w:pPr>
        <w:pStyle w:val="164"/>
        <w:spacing w:before="0" w:after="0" w:line="240" w:lineRule="auto"/>
        <w:rPr>
          <w:rFonts w:ascii="Times New Roman" w:hAnsi="Times New Roman" w:eastAsia="宋体" w:cs="Times New Roman"/>
          <w:color w:val="000000"/>
          <w:sz w:val="24"/>
          <w:szCs w:val="24"/>
        </w:rPr>
      </w:pPr>
      <m:oMathPara>
        <m:oMathParaPr>
          <m:jc m:val="left"/>
        </m:oMathParaPr>
        <m:oMath>
          <m:sSub>
            <m:sSubPr/>
            <m:e>
              <m:r>
                <m:rPr/>
                <m:t>τ</m:t>
              </m:r>
            </m:e>
            <m:sub>
              <m:r>
                <m:rPr>
                  <m:sty m:val="p"/>
                </m:rPr>
                <m:t>ff</m:t>
              </m:r>
            </m:sub>
          </m:sSub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)=</m:t>
          </m:r>
          <m:r>
            <m:rPr/>
            <m:t>J</m:t>
          </m:r>
          <m:sSub>
            <m:sSubPr/>
            <m:e>
              <m:r>
                <m:rPr/>
                <m:t>α</m:t>
              </m:r>
            </m:e>
            <m:sub>
              <m:r>
                <m:rPr/>
                <m:t>r</m:t>
              </m:r>
            </m:sub>
          </m:sSub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)+</m:t>
          </m:r>
          <m:r>
            <m:rPr/>
            <m:t>B</m:t>
          </m:r>
          <m:sSub>
            <m:sSubPr/>
            <m:e>
              <m:r>
                <m:rPr/>
                <m:t>ω</m:t>
              </m:r>
            </m:e>
            <m:sub>
              <m:r>
                <m:rPr/>
                <m:t>r</m:t>
              </m:r>
            </m:sub>
          </m:sSub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)+</m:t>
          </m:r>
          <m:sSub>
            <m:sSubPr/>
            <m:e>
              <m:r>
                <m:rPr/>
                <m:t>τ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tanh</m:t>
          </m:r>
          <m:r>
            <m:rPr/>
            <m:t>​</m:t>
          </m:r>
          <m:d>
            <m:dPr>
              <m:sepChr m:val=""/>
            </m:dPr>
            <m:e>
              <m:f>
                <m:fPr/>
                <m:num>
                  <m:sSub>
                    <m:sSubPr/>
                    <m:e>
                      <m:r>
                        <m:rPr/>
                        <m:t>ω</m:t>
                      </m:r>
                    </m:e>
                    <m:sub>
                      <m:r>
                        <m:rPr/>
                        <m:t>r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rPr/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sSubPr/>
                    <m:e>
                      <m:r>
                        <m:rPr/>
                        <m:t>ω</m:t>
                      </m:r>
                    </m:e>
                    <m:sub>
                      <m:r>
                        <m:rPr/>
                        <m:t>s</m:t>
                      </m:r>
                    </m:sub>
                  </m:sSub>
                </m:den>
              </m:f>
            </m:e>
          </m:d>
        </m:oMath>
      </m:oMathPara>
    </w:p>
    <w:p w14:paraId="362524C3">
      <w:pPr>
        <w:spacing w:before="0" w:after="0" w:line="240" w:lineRule="auto"/>
        <w:rPr>
          <w:rFonts w:ascii="Times New Roman" w:hAnsi="Times New Roman" w:eastAsia="宋体" w:cs="Times New Roman"/>
          <w:color w:val="000000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lang w:eastAsia="zh-CN"/>
        </w:rPr>
        <w:t>其中第一项补偿目标加速段所需力矩，第二项补偿粘性阻尼，第三项补偿静摩擦/库仑摩擦。LQR 反馈只作用于误差状态：</w:t>
      </w:r>
    </w:p>
    <w:p w14:paraId="4A001B37">
      <w:pPr>
        <w:pStyle w:val="164"/>
        <w:spacing w:before="0" w:after="0" w:line="240" w:lineRule="auto"/>
        <w:rPr>
          <w:rFonts w:ascii="Times New Roman" w:hAnsi="Times New Roman" w:eastAsia="宋体" w:cs="Times New Roman"/>
          <w:color w:val="000000"/>
          <w:sz w:val="24"/>
          <w:szCs w:val="24"/>
        </w:rPr>
      </w:pPr>
      <m:oMathPara>
        <m:oMathParaPr>
          <m:jc m:val="left"/>
        </m:oMathParaPr>
        <m:oMath>
          <m:sSub>
            <m:sSubPr/>
            <m:e>
              <m:r>
                <m:rPr/>
                <m:t>τ</m:t>
              </m:r>
            </m:e>
            <m:sub>
              <m:r>
                <m:rPr>
                  <m:sty m:val="p"/>
                </m:rPr>
                <m:t>LQR</m:t>
              </m:r>
            </m:sub>
          </m:sSub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)=</m:t>
          </m:r>
          <m:sSub>
            <m:sSubPr/>
            <m:e>
              <m:r>
                <m:rPr/>
                <m:t>τ</m:t>
              </m:r>
            </m:e>
            <m:sub>
              <m:r>
                <m:rPr>
                  <m:sty m:val="p"/>
                </m:rPr>
                <m:t>ff</m:t>
              </m:r>
            </m:sub>
          </m:sSub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)−</m:t>
          </m:r>
          <m:sSub>
            <m:sSubPr/>
            <m:e>
              <m:r>
                <m:rPr/>
                <m:t>K</m:t>
              </m:r>
            </m:e>
            <m:sub>
              <m:r>
                <m:rPr/>
                <m:t>θ</m:t>
              </m:r>
            </m:sub>
          </m:sSub>
          <m:sSub>
            <m:sSubPr/>
            <m:e>
              <m:r>
                <m:rPr/>
                <m:t>e</m:t>
              </m:r>
            </m:e>
            <m:sub>
              <m:r>
                <m:rPr/>
                <m:t>θ</m:t>
              </m:r>
            </m:sub>
          </m:sSub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)−</m:t>
          </m:r>
          <m:sSub>
            <m:sSubPr/>
            <m:e>
              <m:r>
                <m:rPr/>
                <m:t>K</m:t>
              </m:r>
            </m:e>
            <m:sub>
              <m:r>
                <m:rPr/>
                <m:t>ω</m:t>
              </m:r>
            </m:sub>
          </m:sSub>
          <m:sSub>
            <m:sSubPr/>
            <m:e>
              <m:r>
                <m:rPr/>
                <m:t>e</m:t>
              </m:r>
            </m:e>
            <m:sub>
              <m:r>
                <m:rPr/>
                <m:t>ω</m:t>
              </m:r>
            </m:sub>
          </m:sSub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)+</m:t>
          </m:r>
          <m:sSub>
            <m:sSubPr/>
            <m:e>
              <m:r>
                <m:rPr/>
                <m:t>τ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</m:t>
          </m:r>
        </m:oMath>
      </m:oMathPara>
    </w:p>
    <w:p w14:paraId="0120E6AC">
      <w:pPr>
        <w:spacing w:before="0" w:after="0" w:line="240" w:lineRule="auto"/>
        <w:rPr>
          <w:rFonts w:ascii="Times New Roman" w:hAnsi="Times New Roman" w:eastAsia="宋体" w:cs="Times New Roman"/>
          <w:color w:val="000000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等价地，若定义误差向量 ξ(t) 为误差列向量，则反馈项可写为：</w:t>
      </w:r>
    </w:p>
    <w:p w14:paraId="663E1838">
      <w:pPr>
        <w:pStyle w:val="164"/>
        <w:spacing w:before="0" w:after="0" w:line="240" w:lineRule="auto"/>
        <w:rPr>
          <w:rFonts w:ascii="Times New Roman" w:hAnsi="Times New Roman" w:eastAsia="宋体" w:cs="Times New Roman"/>
          <w:color w:val="000000"/>
          <w:sz w:val="24"/>
          <w:szCs w:val="24"/>
        </w:rPr>
      </w:pPr>
      <m:oMathPara>
        <m:oMathParaPr>
          <m:jc m:val="left"/>
        </m:oMathParaPr>
        <m:oMath>
          <m:r>
            <m:rPr/>
            <m:t>ξ</m:t>
          </m:r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)=</m:t>
          </m:r>
          <m:d>
            <m:dPr>
              <m:begChr m:val="["/>
              <m:sepChr m:val=""/>
              <m:endChr m:val="]"/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</m:mPr>
                <m:mr>
                  <m:e>
                    <m:sSub>
                      <m:sSubPr/>
                      <m:e>
                        <m:r>
                          <m:rPr/>
                          <m:t>e</m:t>
                        </m:r>
                      </m:e>
                      <m:sub>
                        <m:r>
                          <m:rPr/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rPr/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sSub>
                      <m:sSubPr/>
                      <m:e>
                        <m:r>
                          <m:rPr/>
                          <m:t>e</m:t>
                        </m:r>
                      </m:e>
                      <m:sub>
                        <m:r>
                          <m:rPr/>
                          <m:t>ω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rPr/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rPr/>
            <m:t>  </m:t>
          </m:r>
          <m:sSub>
            <m:sSubPr/>
            <m:e>
              <m:r>
                <m:rPr/>
                <m:t>τ</m:t>
              </m:r>
            </m:e>
            <m:sub>
              <m:r>
                <m:rPr>
                  <m:sty m:val="p"/>
                </m:rPr>
                <m:t>fb</m:t>
              </m:r>
            </m:sub>
          </m:sSub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)=−</m:t>
          </m:r>
          <m:r>
            <m:rPr/>
            <m:t>Kξ</m:t>
          </m:r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),</m:t>
          </m:r>
          <m:r>
            <m:rPr/>
            <m:t>  K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</m:mPr>
                <m:mr>
                  <m:e>
                    <m:sSub>
                      <m:sSubPr/>
                      <m:e>
                        <m:r>
                          <m:rPr/>
                          <m:t>K</m:t>
                        </m:r>
                      </m:e>
                      <m:sub>
                        <m:r>
                          <m:rPr/>
                          <m:t>θ</m:t>
                        </m:r>
                      </m:sub>
                    </m:sSub>
                  </m:e>
                  <m:e>
                    <m:sSub>
                      <m:sSubPr/>
                      <m:e>
                        <m:r>
                          <m:rPr/>
                          <m:t>K</m:t>
                        </m:r>
                      </m:e>
                      <m:sub>
                        <m:r>
                          <m:rPr/>
                          <m:t>ω</m:t>
                        </m:r>
                      </m:sub>
                    </m:sSub>
                  </m:e>
                </m:mr>
              </m:m>
            </m:e>
          </m:d>
        </m:oMath>
      </m:oMathPara>
    </w:p>
    <w:p w14:paraId="7733FDF9">
      <w:pPr>
        <w:pStyle w:val="3"/>
        <w:spacing w:before="0" w:after="0" w:line="240" w:lineRule="auto"/>
        <w:rPr>
          <w:rFonts w:ascii="Times New Roman" w:hAnsi="Times New Roman" w:eastAsia="宋体" w:cs="Times New Roman"/>
          <w:b/>
          <w:bCs/>
          <w:color w:val="000000"/>
          <w:sz w:val="28"/>
          <w:szCs w:val="28"/>
          <w:lang w:eastAsia="zh-CN"/>
        </w:rPr>
      </w:pPr>
      <w:r>
        <w:rPr>
          <w:rFonts w:ascii="Times New Roman" w:hAnsi="Times New Roman" w:eastAsia="宋体" w:cs="Times New Roman"/>
          <w:b/>
          <w:bCs/>
          <w:color w:val="000000"/>
          <w:sz w:val="28"/>
          <w:szCs w:val="28"/>
          <w:lang w:eastAsia="zh-CN"/>
        </w:rPr>
        <w:t>4. 三阶 ESO 数学模型</w:t>
      </w:r>
    </w:p>
    <w:p w14:paraId="20A338C3">
      <w:pPr>
        <w:spacing w:before="0" w:after="0" w:line="240" w:lineRule="auto"/>
        <w:rPr>
          <w:rFonts w:ascii="Times New Roman" w:hAnsi="Times New Roman" w:eastAsia="宋体" w:cs="Times New Roman"/>
          <w:color w:val="000000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lang w:eastAsia="zh-CN"/>
        </w:rPr>
        <w:t>ESO 估计角位置、角速度和等效总扰动。定义观测状态 z₁、z₂、z₃，其中 z₁ 对应角位置，z₂ 对应角速度，z₃ 对应归一化后的等效扰动项。观测误差为：</w:t>
      </w:r>
    </w:p>
    <w:p w14:paraId="30C55BB2">
      <w:pPr>
        <w:pStyle w:val="164"/>
        <w:spacing w:before="0" w:after="0" w:line="240" w:lineRule="auto"/>
        <w:rPr>
          <w:rFonts w:ascii="Times New Roman" w:hAnsi="Times New Roman" w:eastAsia="宋体" w:cs="Times New Roman"/>
          <w:color w:val="000000"/>
          <w:sz w:val="24"/>
          <w:szCs w:val="24"/>
          <w:lang w:eastAsia="zh-CN"/>
        </w:rPr>
      </w:pPr>
      <m:oMathPara>
        <m:oMathParaPr>
          <m:jc m:val="left"/>
        </m:oMathParaPr>
        <m:oMath>
          <m:r>
            <m:rPr/>
            <m:t>e</m:t>
          </m:r>
          <m:r>
            <m:rPr>
              <m:sty m:val="p"/>
            </m:rPr>
            <m:t>=</m:t>
          </m:r>
          <m:r>
            <m:rPr/>
            <m:t>θ</m:t>
          </m:r>
          <m:r>
            <m:rPr>
              <m:sty m:val="p"/>
            </m:rPr>
            <m:t>−</m:t>
          </m:r>
          <m:sSub>
            <m:sSubPr/>
            <m:e>
              <m:r>
                <m:rPr/>
                <m:t>z</m:t>
              </m:r>
            </m:e>
            <m:sub>
              <m:r>
                <m:rPr/>
                <m:t>1</m:t>
              </m:r>
            </m:sub>
          </m:sSub>
        </m:oMath>
      </m:oMathPara>
    </w:p>
    <w:p w14:paraId="1E5B80C0">
      <w:pPr>
        <w:spacing w:before="0" w:after="0" w:line="240" w:lineRule="auto"/>
        <w:rPr>
          <w:rFonts w:ascii="Times New Roman" w:hAnsi="Times New Roman" w:eastAsia="宋体" w:cs="Times New Roman"/>
          <w:color w:val="000000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lang w:eastAsia="zh-CN"/>
        </w:rPr>
        <w:t>ESO 的连续时间形式为：</w:t>
      </w:r>
    </w:p>
    <w:p w14:paraId="37670B5C">
      <w:pPr>
        <w:pStyle w:val="164"/>
        <w:spacing w:before="0" w:after="0" w:line="240" w:lineRule="auto"/>
        <w:rPr>
          <w:rFonts w:ascii="Times New Roman" w:hAnsi="Times New Roman" w:eastAsia="宋体" w:cs="Times New Roman"/>
          <w:color w:val="000000"/>
          <w:sz w:val="24"/>
          <w:szCs w:val="24"/>
        </w:rPr>
      </w:pPr>
      <m:oMathPara>
        <m:oMathParaPr>
          <m:jc m:val="left"/>
        </m:oMathParaPr>
        <m:oMath>
          <m:f>
            <m:fPr/>
            <m:num>
              <m:r>
                <m:rPr/>
                <m:t>d</m:t>
              </m:r>
              <m:sSub>
                <m:sSubPr/>
                <m:e>
                  <m:r>
                    <m:rPr/>
                    <m:t>z</m:t>
                  </m:r>
                </m:e>
                <m:sub>
                  <m:r>
                    <m:rPr/>
                    <m:t>1</m:t>
                  </m:r>
                </m:sub>
              </m:sSub>
            </m:num>
            <m:den>
              <m:r>
                <m:rPr/>
                <m:t>dt</m:t>
              </m:r>
            </m:den>
          </m:f>
          <m:r>
            <m:rPr>
              <m:sty m:val="p"/>
            </m:rPr>
            <m:t>=</m:t>
          </m:r>
          <m:sSub>
            <m:sSubPr/>
            <m:e>
              <m:r>
                <m:rPr/>
                <m:t>z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β</m:t>
              </m:r>
            </m:e>
            <m:sub>
              <m:r>
                <m:rPr/>
                <m:t>1</m:t>
              </m:r>
            </m:sub>
          </m:sSub>
          <m:r>
            <m:rPr/>
            <m:t>e</m:t>
          </m:r>
        </m:oMath>
      </m:oMathPara>
    </w:p>
    <w:p w14:paraId="072B9873">
      <w:pPr>
        <w:pStyle w:val="164"/>
        <w:spacing w:before="0" w:after="0" w:line="240" w:lineRule="auto"/>
        <w:rPr>
          <w:rFonts w:ascii="Times New Roman" w:hAnsi="Times New Roman" w:eastAsia="宋体" w:cs="Times New Roman"/>
          <w:color w:val="000000"/>
          <w:sz w:val="24"/>
          <w:szCs w:val="24"/>
        </w:rPr>
      </w:pPr>
      <m:oMathPara>
        <m:oMathParaPr>
          <m:jc m:val="left"/>
        </m:oMathParaPr>
        <m:oMath>
          <m:f>
            <m:fPr/>
            <m:num>
              <m:r>
                <m:rPr/>
                <m:t>d</m:t>
              </m:r>
              <m:sSub>
                <m:sSubPr/>
                <m:e>
                  <m:r>
                    <m:rPr/>
                    <m:t>z</m:t>
                  </m:r>
                </m:e>
                <m:sub>
                  <m:r>
                    <m:rPr/>
                    <m:t>2</m:t>
                  </m:r>
                </m:sub>
              </m:sSub>
            </m:num>
            <m:den>
              <m:r>
                <m:rPr/>
                <m:t>dt</m:t>
              </m:r>
            </m:den>
          </m:f>
          <m:r>
            <m:rPr>
              <m:sty m:val="p"/>
            </m:rPr>
            <m:t>=−</m:t>
          </m:r>
          <m:f>
            <m:fPr/>
            <m:num>
              <m:r>
                <m:rPr/>
                <m:t>B</m:t>
              </m:r>
            </m:num>
            <m:den>
              <m:r>
                <m:rPr/>
                <m:t>J</m:t>
              </m:r>
            </m:den>
          </m:f>
          <m:sSub>
            <m:sSubPr/>
            <m:e>
              <m:r>
                <m:rPr/>
                <m:t>z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b</m:t>
              </m:r>
            </m:e>
            <m:sub>
              <m:r>
                <m:rPr/>
                <m:t>0</m:t>
              </m:r>
            </m:sub>
          </m:sSub>
          <m:r>
            <m:rPr/>
            <m:t>u</m:t>
          </m:r>
          <m:r>
            <m:rPr>
              <m:sty m:val="p"/>
            </m:rPr>
            <m:t>+</m:t>
          </m:r>
          <m:sSub>
            <m:sSubPr/>
            <m:e>
              <m:r>
                <m:rPr/>
                <m:t>z</m:t>
              </m:r>
            </m:e>
            <m:sub>
              <m:r>
                <m:rPr/>
                <m:t>3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β</m:t>
              </m:r>
            </m:e>
            <m:sub>
              <m:r>
                <m:rPr/>
                <m:t>2</m:t>
              </m:r>
            </m:sub>
          </m:sSub>
          <m:r>
            <m:rPr/>
            <m:t>e</m:t>
          </m:r>
        </m:oMath>
      </m:oMathPara>
    </w:p>
    <w:p w14:paraId="2E8426F4">
      <w:pPr>
        <w:pStyle w:val="164"/>
        <w:spacing w:before="0" w:after="0" w:line="240" w:lineRule="auto"/>
        <w:rPr>
          <w:rFonts w:ascii="Times New Roman" w:hAnsi="Times New Roman" w:eastAsia="宋体" w:cs="Times New Roman"/>
          <w:color w:val="000000"/>
          <w:sz w:val="24"/>
          <w:szCs w:val="24"/>
          <w:lang w:eastAsia="zh-CN"/>
        </w:rPr>
      </w:pPr>
      <m:oMathPara>
        <m:oMathParaPr>
          <m:jc m:val="left"/>
        </m:oMathParaPr>
        <m:oMath>
          <m:f>
            <m:fPr/>
            <m:num>
              <m:r>
                <m:rPr/>
                <m:t>d</m:t>
              </m:r>
              <m:sSub>
                <m:sSubPr/>
                <m:e>
                  <m:r>
                    <m:rPr/>
                    <m:t>z</m:t>
                  </m:r>
                </m:e>
                <m:sub>
                  <m:r>
                    <m:rPr/>
                    <m:t>3</m:t>
                  </m:r>
                </m:sub>
              </m:sSub>
            </m:num>
            <m:den>
              <m:r>
                <m:rPr/>
                <m:t>dt</m:t>
              </m:r>
            </m:den>
          </m:f>
          <m:r>
            <m:rPr>
              <m:sty m:val="p"/>
            </m:rPr>
            <m:t>=</m:t>
          </m:r>
          <m:sSub>
            <m:sSubPr/>
            <m:e>
              <m:r>
                <m:rPr/>
                <m:t>β</m:t>
              </m:r>
            </m:e>
            <m:sub>
              <m:r>
                <m:rPr/>
                <m:t>3</m:t>
              </m:r>
            </m:sub>
          </m:sSub>
          <m:r>
            <m:rPr/>
            <m:t>e</m:t>
          </m:r>
        </m:oMath>
      </m:oMathPara>
    </w:p>
    <w:p w14:paraId="1ED73ACE">
      <w:pPr>
        <w:spacing w:before="0" w:after="0" w:line="240" w:lineRule="auto"/>
        <w:rPr>
          <w:rFonts w:ascii="Times New Roman" w:hAnsi="Times New Roman" w:eastAsia="宋体" w:cs="Times New Roman"/>
          <w:color w:val="000000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lang w:eastAsia="zh-CN"/>
        </w:rPr>
        <w:t>其中 u 为上一周期进入被控对象的力矩输入或与测得力矩混合后的输入，b₀ 为输入增益：</w:t>
      </w:r>
    </w:p>
    <w:p w14:paraId="41F7B459">
      <w:pPr>
        <w:pStyle w:val="164"/>
        <w:spacing w:before="0" w:after="0" w:line="240" w:lineRule="auto"/>
        <w:rPr>
          <w:rFonts w:ascii="Times New Roman" w:hAnsi="Times New Roman" w:eastAsia="宋体" w:cs="Times New Roman"/>
          <w:color w:val="000000"/>
          <w:sz w:val="24"/>
          <w:szCs w:val="24"/>
          <w:lang w:eastAsia="zh-CN"/>
        </w:rPr>
      </w:pPr>
      <m:oMathPara>
        <m:oMathParaPr>
          <m:jc m:val="left"/>
        </m:oMathParaPr>
        <m:oMath>
          <m:sSub>
            <m:sSubPr/>
            <m:e>
              <m:r>
                <m:rPr/>
                <m:t>b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J</m:t>
              </m:r>
            </m:den>
          </m:f>
        </m:oMath>
      </m:oMathPara>
    </w:p>
    <w:p w14:paraId="56CE870F">
      <w:pPr>
        <w:spacing w:before="0" w:after="0" w:line="240" w:lineRule="auto"/>
        <w:rPr>
          <w:rFonts w:ascii="Times New Roman" w:hAnsi="Times New Roman" w:eastAsia="宋体" w:cs="Times New Roman"/>
          <w:color w:val="000000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lang w:eastAsia="zh-CN"/>
        </w:rPr>
        <w:t>采用三阶带宽配置时，观测器增益写为：</w:t>
      </w:r>
    </w:p>
    <w:p w14:paraId="4C20244A">
      <w:pPr>
        <w:pStyle w:val="164"/>
        <w:spacing w:before="0" w:after="0" w:line="240" w:lineRule="auto"/>
        <w:rPr>
          <w:rFonts w:ascii="Times New Roman" w:hAnsi="Times New Roman" w:eastAsia="宋体" w:cs="Times New Roman"/>
          <w:color w:val="000000"/>
          <w:sz w:val="24"/>
          <w:szCs w:val="24"/>
          <w:lang w:eastAsia="zh-CN"/>
        </w:rPr>
      </w:pPr>
      <m:oMathPara>
        <m:oMathParaPr>
          <m:jc m:val="left"/>
        </m:oMathParaPr>
        <m:oMath>
          <m:sSub>
            <m:sSubPr/>
            <m:e>
              <m:r>
                <m:rPr/>
                <m:t>β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=</m:t>
          </m:r>
          <m:r>
            <m:rPr/>
            <m:t>3</m:t>
          </m:r>
          <m:sSub>
            <m:sSubPr/>
            <m:e>
              <m:r>
                <m:rPr/>
                <m:t>ω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,</m:t>
          </m:r>
          <m:r>
            <m:rPr/>
            <m:t>  </m:t>
          </m:r>
          <m:sSub>
            <m:sSubPr/>
            <m:e>
              <m:r>
                <m:rPr/>
                <m:t>β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=</m:t>
          </m:r>
          <m:r>
            <m:rPr/>
            <m:t>3</m:t>
          </m:r>
          <m:sSubSup>
            <m:sSubSupPr/>
            <m:e>
              <m:r>
                <m:rPr/>
                <m:t>ω</m:t>
              </m:r>
            </m:e>
            <m:sub>
              <m:r>
                <m:rPr/>
                <m:t>0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,</m:t>
          </m:r>
          <m:r>
            <m:rPr/>
            <m:t>  </m:t>
          </m:r>
          <m:sSub>
            <m:sSubPr/>
            <m:e>
              <m:r>
                <m:rPr/>
                <m:t>β</m:t>
              </m:r>
            </m:e>
            <m:sub>
              <m:r>
                <m:rPr/>
                <m:t>3</m:t>
              </m:r>
            </m:sub>
          </m:sSub>
          <m:r>
            <m:rPr>
              <m:sty m:val="p"/>
            </m:rPr>
            <m:t>=</m:t>
          </m:r>
          <m:sSubSup>
            <m:sSubSupPr/>
            <m:e>
              <m:r>
                <m:rPr/>
                <m:t>ω</m:t>
              </m:r>
            </m:e>
            <m:sub>
              <m:r>
                <m:rPr/>
                <m:t>0</m:t>
              </m:r>
            </m:sub>
            <m:sup>
              <m:r>
                <m:rPr/>
                <m:t>3</m:t>
              </m:r>
            </m:sup>
          </m:sSubSup>
        </m:oMath>
      </m:oMathPara>
    </w:p>
    <w:p w14:paraId="081CFC8F">
      <w:pPr>
        <w:pStyle w:val="3"/>
        <w:spacing w:before="0" w:after="0" w:line="240" w:lineRule="auto"/>
        <w:rPr>
          <w:rFonts w:ascii="Times New Roman" w:hAnsi="Times New Roman" w:eastAsia="宋体" w:cs="Times New Roman"/>
          <w:b/>
          <w:bCs/>
          <w:color w:val="000000"/>
          <w:sz w:val="28"/>
          <w:szCs w:val="28"/>
          <w:lang w:eastAsia="zh-CN"/>
        </w:rPr>
      </w:pPr>
      <w:r>
        <w:rPr>
          <w:rFonts w:ascii="Times New Roman" w:hAnsi="Times New Roman" w:eastAsia="宋体" w:cs="Times New Roman"/>
          <w:b/>
          <w:bCs/>
          <w:color w:val="000000"/>
          <w:sz w:val="28"/>
          <w:szCs w:val="28"/>
          <w:lang w:eastAsia="zh-CN"/>
        </w:rPr>
        <w:t>5. ESO 扰动补偿与最终力矩</w:t>
      </w:r>
    </w:p>
    <w:p w14:paraId="5B11ACF9">
      <w:pPr>
        <w:spacing w:before="0" w:after="0" w:line="240" w:lineRule="auto"/>
        <w:rPr>
          <w:rFonts w:ascii="Times New Roman" w:hAnsi="Times New Roman" w:eastAsia="宋体" w:cs="Times New Roman"/>
          <w:color w:val="000000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lang w:eastAsia="zh-CN"/>
        </w:rPr>
        <w:t>ESO 的扰动补偿项由 z₃ 反算到力矩维度：</w:t>
      </w:r>
    </w:p>
    <w:p w14:paraId="5025C10B">
      <w:pPr>
        <w:pStyle w:val="164"/>
        <w:spacing w:before="0" w:after="0" w:line="240" w:lineRule="auto"/>
        <w:rPr>
          <w:rFonts w:ascii="Times New Roman" w:hAnsi="Times New Roman" w:eastAsia="宋体" w:cs="Times New Roman"/>
          <w:color w:val="000000"/>
          <w:sz w:val="24"/>
          <w:szCs w:val="24"/>
          <w:lang w:eastAsia="zh-CN"/>
        </w:rPr>
      </w:pPr>
      <m:oMathPara>
        <m:oMathParaPr>
          <m:jc m:val="left"/>
        </m:oMathParaPr>
        <m:oMath>
          <m:sSub>
            <m:sSubPr/>
            <m:e>
              <m:r>
                <m:rPr/>
                <m:t>τ</m:t>
              </m:r>
            </m:e>
            <m:sub>
              <m:r>
                <m:rPr>
                  <m:sty m:val="p"/>
                </m:rPr>
                <m:t>ESO</m:t>
              </m:r>
            </m:sub>
          </m:sSub>
          <m:r>
            <m:rPr>
              <m:sty m:val="p"/>
            </m:rPr>
            <m:t>=−</m:t>
          </m:r>
          <m:f>
            <m:fPr/>
            <m:num>
              <m:sSub>
                <m:sSubPr/>
                <m:e>
                  <m:r>
                    <m:rPr/>
                    <m:t>k</m:t>
                  </m:r>
                </m:e>
                <m:sub>
                  <m:r>
                    <m:rPr>
                      <m:sty m:val="p"/>
                    </m:rPr>
                    <m:t>ESO</m:t>
                  </m:r>
                </m:sub>
              </m:sSub>
              <m:sSub>
                <m:sSubPr/>
                <m:e>
                  <m:r>
                    <m:rPr/>
                    <m:t>z</m:t>
                  </m:r>
                </m:e>
                <m:sub>
                  <m:r>
                    <m:rPr/>
                    <m:t>3</m:t>
                  </m:r>
                </m:sub>
              </m:sSub>
            </m:num>
            <m:den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0</m:t>
                  </m:r>
                </m:sub>
              </m:sSub>
            </m:den>
          </m:f>
        </m:oMath>
      </m:oMathPara>
    </w:p>
    <w:p w14:paraId="536BB51C">
      <w:pPr>
        <w:spacing w:before="0" w:after="0" w:line="240" w:lineRule="auto"/>
        <w:rPr>
          <w:rFonts w:ascii="Times New Roman" w:hAnsi="Times New Roman" w:eastAsia="宋体" w:cs="Times New Roman"/>
          <w:color w:val="000000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lang w:eastAsia="zh-CN"/>
        </w:rPr>
        <w:t xml:space="preserve">实际自瞄控制中，ESO 补偿可由门控系数 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γ</w:t>
      </w:r>
      <w:r>
        <w:rPr>
          <w:rFonts w:ascii="Times New Roman" w:hAnsi="Times New Roman" w:eastAsia="宋体" w:cs="Times New Roman"/>
          <w:color w:val="000000"/>
          <w:sz w:val="24"/>
          <w:szCs w:val="24"/>
          <w:lang w:eastAsia="zh-CN"/>
        </w:rPr>
        <w:t>ESO 决定是否接入。最终控制力矩的抽象形式为：</w:t>
      </w:r>
    </w:p>
    <w:p w14:paraId="660FE583">
      <w:pPr>
        <w:pStyle w:val="164"/>
        <w:spacing w:before="0" w:after="0" w:line="240" w:lineRule="auto"/>
        <w:rPr>
          <w:rFonts w:ascii="Times New Roman" w:hAnsi="Times New Roman" w:eastAsia="宋体" w:cs="Times New Roman"/>
          <w:color w:val="000000"/>
          <w:sz w:val="24"/>
          <w:szCs w:val="24"/>
        </w:rPr>
      </w:pPr>
      <m:oMathPara>
        <m:oMathParaPr>
          <m:jc m:val="left"/>
        </m:oMathParaPr>
        <m:oMath>
          <m:sSub>
            <m:sSubPr/>
            <m:e>
              <m:r>
                <m:rPr/>
                <m:t>τ</m:t>
              </m:r>
            </m:e>
            <m:sub>
              <m:r>
                <m:rPr>
                  <m:sty m:val="p"/>
                </m:rPr>
                <m:t>cmd</m:t>
              </m:r>
            </m:sub>
          </m:sSub>
          <m:r>
            <m:rPr>
              <m:sty m:val="p"/>
            </m:rPr>
            <m:t>=sat</m:t>
          </m:r>
          <m:r>
            <m:rPr/>
            <m:t>​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τ</m:t>
                  </m:r>
                </m:e>
                <m:sub>
                  <m:r>
                    <m:rPr>
                      <m:sty m:val="p"/>
                    </m:rPr>
                    <m:t>LQR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γ</m:t>
                  </m:r>
                </m:e>
                <m:sub>
                  <m:r>
                    <m:rPr>
                      <m:sty m:val="p"/>
                    </m:rPr>
                    <m:t>ESO</m:t>
                  </m:r>
                </m:sub>
              </m:sSub>
              <m:sSub>
                <m:sSubPr/>
                <m:e>
                  <m:r>
                    <m:rPr/>
                    <m:t>τ</m:t>
                  </m:r>
                </m:e>
                <m:sub>
                  <m:r>
                    <m:rPr>
                      <m:sty m:val="p"/>
                    </m:rPr>
                    <m:t>ESO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τ</m:t>
                  </m:r>
                </m:e>
                <m:sub>
                  <m:r>
                    <m:rPr>
                      <m:sty m:val="p"/>
                    </m:rPr>
                    <m:t>bias</m:t>
                  </m:r>
                </m:sub>
              </m:sSub>
            </m:e>
          </m:d>
        </m:oMath>
      </m:oMathPara>
    </w:p>
    <w:p w14:paraId="0AE4B37A">
      <w:pPr>
        <w:spacing w:before="0" w:after="0" w:line="240" w:lineRule="auto"/>
        <w:rPr>
          <w:rFonts w:ascii="Times New Roman" w:hAnsi="Times New Roman" w:eastAsia="宋体" w:cs="Times New Roman"/>
          <w:color w:val="000000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γ</w:t>
      </w:r>
      <w:r>
        <w:rPr>
          <w:rFonts w:ascii="Times New Roman" w:hAnsi="Times New Roman" w:eastAsia="宋体" w:cs="Times New Roman"/>
          <w:color w:val="000000"/>
          <w:sz w:val="24"/>
          <w:szCs w:val="24"/>
          <w:lang w:eastAsia="zh-CN"/>
        </w:rPr>
        <w:t>ESO 由自瞄模式、补偿使能、角速度门限和参考角加速度门限共同决定。力矩输出还会经过电机力矩范围限制和斜率限制，以避免瞬时命令跳变。</w:t>
      </w:r>
    </w:p>
    <w:p w14:paraId="02C5FD7B">
      <w:pPr>
        <w:pStyle w:val="3"/>
        <w:spacing w:before="0" w:after="0" w:line="240" w:lineRule="auto"/>
        <w:rPr>
          <w:rFonts w:ascii="Times New Roman" w:hAnsi="Times New Roman" w:eastAsia="宋体" w:cs="Times New Roman"/>
          <w:b/>
          <w:bCs/>
          <w:color w:val="000000"/>
          <w:sz w:val="28"/>
          <w:szCs w:val="28"/>
          <w:lang w:eastAsia="zh-CN"/>
        </w:rPr>
      </w:pPr>
      <w:r>
        <w:rPr>
          <w:rFonts w:ascii="Times New Roman" w:hAnsi="Times New Roman" w:eastAsia="宋体" w:cs="Times New Roman"/>
          <w:b/>
          <w:bCs/>
          <w:color w:val="000000"/>
          <w:sz w:val="28"/>
          <w:szCs w:val="28"/>
          <w:lang w:eastAsia="zh-CN"/>
        </w:rPr>
        <w:t>6. 实现对应关系</w:t>
      </w:r>
    </w:p>
    <w:p w14:paraId="009A06F8">
      <w:pPr>
        <w:spacing w:before="0" w:after="0" w:line="240" w:lineRule="auto"/>
        <w:ind w:left="360" w:hanging="230"/>
        <w:rPr>
          <w:rFonts w:ascii="Times New Roman" w:hAnsi="Times New Roman" w:eastAsia="宋体" w:cs="Times New Roman"/>
          <w:color w:val="000000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lang w:eastAsia="zh-CN"/>
        </w:rPr>
        <w:t>• 自瞄入口：当视觉控制模式有效时，角位置、角速度和角加速度参考作为连续时间轨迹输入进入控制器。</w:t>
      </w:r>
    </w:p>
    <w:p w14:paraId="3009FCD0">
      <w:pPr>
        <w:spacing w:before="0" w:after="0" w:line="240" w:lineRule="auto"/>
        <w:ind w:left="360" w:hanging="230"/>
        <w:rPr>
          <w:rFonts w:ascii="Times New Roman" w:hAnsi="Times New Roman" w:eastAsia="宋体" w:cs="Times New Roman"/>
          <w:color w:val="000000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lang w:eastAsia="zh-CN"/>
        </w:rPr>
        <w:t>• 轨迹处理：控制器直接使用连续时间参考量 r(t) 进行跟踪。</w:t>
      </w:r>
    </w:p>
    <w:p w14:paraId="0A348230">
      <w:pPr>
        <w:spacing w:before="0" w:after="0" w:line="240" w:lineRule="auto"/>
        <w:ind w:left="360" w:hanging="230"/>
        <w:rPr>
          <w:rFonts w:ascii="Times New Roman" w:hAnsi="Times New Roman" w:eastAsia="宋体" w:cs="Times New Roman"/>
          <w:color w:val="000000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lang w:eastAsia="zh-CN"/>
        </w:rPr>
        <w:t>• 控制律：同一周期内先更新 ESO，再计算误差、前馈、LQR 力矩和可选 ESO 补偿。</w:t>
      </w:r>
    </w:p>
    <w:p w14:paraId="1B732EE0">
      <w:pPr>
        <w:spacing w:before="0" w:after="0" w:line="240" w:lineRule="auto"/>
        <w:ind w:left="360" w:hanging="230"/>
        <w:rPr>
          <w:rFonts w:ascii="Times New Roman" w:hAnsi="Times New Roman" w:eastAsia="宋体" w:cs="Times New Roman"/>
          <w:color w:val="000000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lang w:eastAsia="zh-CN"/>
        </w:rPr>
        <w:t>• 输出保护：控制力矩先进行软限幅，再叠加偏置补偿，之后经过电机物理力矩限幅和力矩斜率限制。</w:t>
      </w:r>
    </w:p>
    <w:p w14:paraId="2CDA0D22">
      <w:pPr>
        <w:spacing w:before="0" w:after="0" w:line="240" w:lineRule="auto"/>
        <w:ind w:left="360" w:hanging="230"/>
        <w:rPr>
          <w:rFonts w:ascii="Times New Roman" w:hAnsi="Times New Roman" w:eastAsia="宋体" w:cs="Times New Roman"/>
          <w:color w:val="000000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lang w:eastAsia="zh-CN"/>
        </w:rPr>
        <w:t>• 本文只保留数学模型和符号关系；具体数值由固件参数、在线调参或 MATLAB 调参脚本给定。</w:t>
      </w:r>
    </w:p>
    <w:p w14:paraId="4436AF50">
      <w:pPr>
        <w:pStyle w:val="3"/>
        <w:spacing w:before="0" w:after="0" w:line="240" w:lineRule="auto"/>
        <w:rPr>
          <w:rFonts w:ascii="Times New Roman" w:hAnsi="Times New Roman" w:eastAsia="宋体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color w:val="000000"/>
          <w:sz w:val="28"/>
          <w:szCs w:val="28"/>
        </w:rPr>
        <w:t>7. 符号说明</w:t>
      </w:r>
    </w:p>
    <w:tbl>
      <w:tblPr>
        <w:tblStyle w:val="32"/>
        <w:tblW w:w="0" w:type="auto"/>
        <w:jc w:val="center"/>
        <w:tblBorders>
          <w:top w:val="single" w:color="DADCE0" w:sz="4" w:space="0"/>
          <w:left w:val="single" w:color="DADCE0" w:sz="4" w:space="0"/>
          <w:bottom w:val="single" w:color="DADCE0" w:sz="4" w:space="0"/>
          <w:right w:val="single" w:color="DADCE0" w:sz="4" w:space="0"/>
          <w:insideH w:val="single" w:color="DADCE0" w:sz="4" w:space="0"/>
          <w:insideV w:val="single" w:color="DADCE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5328"/>
        <w:gridCol w:w="1655"/>
      </w:tblGrid>
      <w:tr w14:paraId="5305197F">
        <w:trPr>
          <w:jc w:val="center"/>
        </w:trPr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0615D">
            <w:pPr>
              <w:spacing w:before="0"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2"/>
                <w:szCs w:val="22"/>
              </w:rPr>
              <w:t>符号</w:t>
            </w:r>
          </w:p>
        </w:tc>
        <w:tc>
          <w:tcPr>
            <w:tcW w:w="53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3E356">
            <w:pPr>
              <w:spacing w:before="0" w:after="0" w:line="240" w:lineRule="auto"/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2"/>
                <w:szCs w:val="22"/>
              </w:rPr>
              <w:t>含义</w:t>
            </w:r>
          </w:p>
        </w:tc>
        <w:tc>
          <w:tcPr>
            <w:tcW w:w="165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516B5">
            <w:pPr>
              <w:spacing w:before="0"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2"/>
                <w:szCs w:val="22"/>
              </w:rPr>
              <w:t>单位</w:t>
            </w:r>
          </w:p>
        </w:tc>
      </w:tr>
      <w:tr w14:paraId="5EF3705D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00969">
            <w:pPr>
              <w:spacing w:before="0"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  <w:t>θ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5C6AD">
            <w:pPr>
              <w:spacing w:before="0" w:after="0" w:line="240" w:lineRule="auto"/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  <w:t>yaw 角位置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3CA44">
            <w:pPr>
              <w:spacing w:before="0"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  <w:t>rad</w:t>
            </w:r>
          </w:p>
        </w:tc>
      </w:tr>
      <w:tr w14:paraId="46A6C0FF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A7B93">
            <w:pPr>
              <w:spacing w:before="0"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  <w:t>ω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37D6F">
            <w:pPr>
              <w:spacing w:before="0" w:after="0" w:line="240" w:lineRule="auto"/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  <w:t>yaw 角速度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FECA9">
            <w:pPr>
              <w:spacing w:before="0"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  <w:t>rad/s</w:t>
            </w:r>
          </w:p>
        </w:tc>
      </w:tr>
      <w:tr w14:paraId="5CA160CD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6D9EC">
            <w:pPr>
              <w:spacing w:before="0"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  <w:t>α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2E529">
            <w:pPr>
              <w:spacing w:before="0" w:after="0" w:line="240" w:lineRule="auto"/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  <w:t>yaw 角加速度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E391A">
            <w:pPr>
              <w:spacing w:before="0"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  <w:t>rad/s²</w:t>
            </w:r>
          </w:p>
        </w:tc>
      </w:tr>
      <w:tr w14:paraId="0032E15C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B87D1">
            <w:pPr>
              <w:spacing w:before="0"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  <w:t>J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6339D">
            <w:pPr>
              <w:spacing w:before="0" w:after="0" w:line="240" w:lineRule="auto"/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  <w:t>等效转动惯量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7144F">
            <w:pPr>
              <w:spacing w:before="0"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  <w:t>kg·m²</w:t>
            </w:r>
          </w:p>
        </w:tc>
      </w:tr>
      <w:tr w14:paraId="71E20211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C44EA">
            <w:pPr>
              <w:spacing w:before="0"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C8B37">
            <w:pPr>
              <w:spacing w:before="0" w:after="0" w:line="240" w:lineRule="auto"/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  <w:t>等效粘性阻尼系数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5ACC6">
            <w:pPr>
              <w:spacing w:before="0"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  <w:t>N·m·s/rad</w:t>
            </w:r>
          </w:p>
        </w:tc>
      </w:tr>
      <w:tr w14:paraId="36316102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633BA">
            <w:pPr>
              <w:spacing w:before="0"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  <w:t>τ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B091C">
            <w:pPr>
              <w:spacing w:before="0" w:after="0" w:line="240" w:lineRule="auto"/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  <w:t>控制力矩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96D42">
            <w:pPr>
              <w:spacing w:before="0"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  <w:t>N·m</w:t>
            </w:r>
          </w:p>
        </w:tc>
      </w:tr>
      <w:tr w14:paraId="189CB083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35003">
            <w:pPr>
              <w:spacing w:before="0"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  <w:t>d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1451A">
            <w:pPr>
              <w:spacing w:before="0" w:after="0" w:line="240" w:lineRule="auto"/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  <w:t>等效总扰动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4D143">
            <w:pPr>
              <w:spacing w:before="0"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  <w:t>N·m</w:t>
            </w:r>
          </w:p>
        </w:tc>
      </w:tr>
      <w:tr w14:paraId="1355CA60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C5BC5">
            <w:pPr>
              <w:spacing w:before="0"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  <w:t>θᵣ, ωᵣ, αᵣ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967AA">
            <w:pPr>
              <w:spacing w:before="0" w:after="0" w:line="240" w:lineRule="auto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lang w:eastAsia="zh-CN"/>
              </w:rPr>
              <w:t>自瞄参考角位置、角速度、角加速度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AA918">
            <w:pPr>
              <w:spacing w:before="0"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  <w:t>rad, rad/s, rad/s²</w:t>
            </w:r>
          </w:p>
        </w:tc>
      </w:tr>
      <w:tr w14:paraId="05EFC281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17162">
            <w:pPr>
              <w:spacing w:before="0" w:after="0" w:line="240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sz w:val="22"/>
                <w:szCs w:val="22"/>
                <w:lang w:eastAsia="zh-CN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hint="default" w:ascii="DejaVu Math TeX Gyre" w:hAnsi="DejaVu Math TeX Gyre" w:cs="Times New Roman Regular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DejaVu Math TeX Gyre" w:hAnsi="DejaVu Math TeX Gyre" w:cs="Times New Roman Regular"/>
                        <w:i/>
                        <w:sz w:val="22"/>
                        <w:szCs w:val="22"/>
                      </w:rPr>
                      <m:t>e</m:t>
                    </m:r>
                    <m:ctrlPr>
                      <w:rPr>
                        <w:rFonts w:hint="default" w:ascii="DejaVu Math TeX Gyre" w:hAnsi="DejaVu Math TeX Gyre" w:cs="Times New Roman Regular"/>
                        <w:sz w:val="22"/>
                        <w:szCs w:val="22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DejaVu Math TeX Gyre" w:hAnsi="DejaVu Math TeX Gyre" w:cs="Times New Roman Regular"/>
                        <w:i/>
                        <w:sz w:val="22"/>
                        <w:szCs w:val="22"/>
                      </w:rPr>
                      <m:t>θ</m:t>
                    </m:r>
                    <m:ctrlPr>
                      <w:rPr>
                        <w:rFonts w:hint="default" w:ascii="DejaVu Math TeX Gyre" w:hAnsi="DejaVu Math TeX Gyre" w:cs="Times New Roman Regular"/>
                        <w:sz w:val="22"/>
                        <w:szCs w:val="22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DejaVu Math TeX Gyre" w:hAnsi="DejaVu Math TeX Gyre" w:cs="Times New Roman Regular"/>
                    <w:sz w:val="22"/>
                    <w:szCs w:val="22"/>
                    <w:lang w:val="en-US"/>
                  </w:rPr>
                  <m:t>,</m:t>
                </m:r>
                <m:sSub>
                  <m:sSubPr>
                    <m:ctrlPr>
                      <w:rPr>
                        <w:rFonts w:hint="default" w:ascii="DejaVu Math TeX Gyre" w:hAnsi="DejaVu Math TeX Gyre" w:cs="Times New Roman Regular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DejaVu Math TeX Gyre" w:hAnsi="DejaVu Math TeX Gyre" w:cs="Times New Roman Regular"/>
                        <w:i/>
                        <w:sz w:val="22"/>
                        <w:szCs w:val="22"/>
                      </w:rPr>
                      <m:t>e</m:t>
                    </m:r>
                    <m:ctrlPr>
                      <w:rPr>
                        <w:rFonts w:hint="default" w:ascii="DejaVu Math TeX Gyre" w:hAnsi="DejaVu Math TeX Gyre" w:cs="Times New Roman Regular"/>
                        <w:sz w:val="22"/>
                        <w:szCs w:val="22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DejaVu Math TeX Gyre" w:hAnsi="DejaVu Math TeX Gyre" w:cs="Times New Roman Regular"/>
                        <w:i/>
                        <w:sz w:val="22"/>
                        <w:szCs w:val="22"/>
                      </w:rPr>
                      <m:t>ω</m:t>
                    </m:r>
                    <m:ctrlPr>
                      <w:rPr>
                        <w:rFonts w:hint="default" w:ascii="DejaVu Math TeX Gyre" w:hAnsi="DejaVu Math TeX Gyre" w:cs="Times New Roman Regular"/>
                        <w:sz w:val="22"/>
                        <w:szCs w:val="22"/>
                      </w:rPr>
                    </m:ctrlPr>
                  </m:sub>
                </m:sSub>
              </m:oMath>
            </m:oMathPara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79265">
            <w:pPr>
              <w:spacing w:before="0" w:after="0" w:line="240" w:lineRule="auto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lang w:eastAsia="zh-CN"/>
              </w:rPr>
              <w:t>角度误差与角速度误差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805B4">
            <w:pPr>
              <w:spacing w:before="0"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  <w:t>rad, rad/s</w:t>
            </w:r>
          </w:p>
        </w:tc>
      </w:tr>
      <w:tr w14:paraId="06C100F2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588DB">
            <w:pPr>
              <w:spacing w:before="0"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  <w:t>Kθ, Kω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02A07">
            <w:pPr>
              <w:spacing w:before="0" w:after="0" w:line="240" w:lineRule="auto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lang w:eastAsia="zh-CN"/>
              </w:rPr>
              <w:t>LQR 角度反馈增益与角速度反馈增益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91AAD">
            <w:pPr>
              <w:spacing w:before="0"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  <w:t>按力矩维度匹配</w:t>
            </w:r>
          </w:p>
        </w:tc>
      </w:tr>
      <w:tr w14:paraId="2BA8FA12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DE9D4">
            <w:pPr>
              <w:spacing w:before="0"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  <w:t>τff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04BEA">
            <w:pPr>
              <w:spacing w:before="0" w:after="0" w:line="240" w:lineRule="auto"/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  <w:t>目标轨迹前馈力矩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CFC54">
            <w:pPr>
              <w:spacing w:before="0"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  <w:t>N·m</w:t>
            </w:r>
          </w:p>
        </w:tc>
      </w:tr>
      <w:tr w14:paraId="7B2F7156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E54B7">
            <w:pPr>
              <w:spacing w:before="0"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  <w:t>τLQR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4B198">
            <w:pPr>
              <w:spacing w:before="0" w:after="0" w:line="240" w:lineRule="auto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lang w:eastAsia="zh-CN"/>
              </w:rPr>
              <w:t>前馈加 LQR 反馈后的力矩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DE824">
            <w:pPr>
              <w:spacing w:before="0"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  <w:t>N·m</w:t>
            </w:r>
          </w:p>
        </w:tc>
      </w:tr>
      <w:tr w14:paraId="3757B749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BDC49">
            <w:pPr>
              <w:spacing w:before="0"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  <w:t>z₁, z₂, z₃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ED9E0">
            <w:pPr>
              <w:spacing w:before="0" w:after="0" w:line="240" w:lineRule="auto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lang w:eastAsia="zh-CN"/>
              </w:rPr>
              <w:t>ESO 角位置、角速度、扰动观测状态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93BCB">
            <w:pPr>
              <w:spacing w:before="0"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  <w:t>rad, rad/s, rad/s² 等效</w:t>
            </w:r>
          </w:p>
        </w:tc>
      </w:tr>
      <w:tr w14:paraId="74F56071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F2B82">
            <w:pPr>
              <w:spacing w:before="0"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  <w:t>ω₀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4F8B6">
            <w:pPr>
              <w:spacing w:before="0" w:after="0" w:line="240" w:lineRule="auto"/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  <w:t>ESO 观测器带宽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639D4">
            <w:pPr>
              <w:spacing w:before="0"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  <w:t>rad/s</w:t>
            </w:r>
          </w:p>
        </w:tc>
      </w:tr>
      <w:tr w14:paraId="1BC8377C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1B482">
            <w:pPr>
              <w:spacing w:before="0"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  <w:t>β₁, β₂, β₃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69073">
            <w:pPr>
              <w:spacing w:before="0" w:after="0" w:line="240" w:lineRule="auto"/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  <w:t>ESO 观测器增益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098F1">
            <w:pPr>
              <w:spacing w:before="0"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  <w:t>按状态维度匹配</w:t>
            </w:r>
          </w:p>
        </w:tc>
      </w:tr>
      <w:tr w14:paraId="2431F710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55308">
            <w:pPr>
              <w:spacing w:before="0"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  <w:t>τESO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F4295">
            <w:pPr>
              <w:spacing w:before="0" w:after="0" w:line="240" w:lineRule="auto"/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  <w:t>ESO 扰动补偿力矩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A1E86">
            <w:pPr>
              <w:spacing w:before="0"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  <w:t>N·m</w:t>
            </w:r>
          </w:p>
        </w:tc>
      </w:tr>
      <w:tr w14:paraId="74482762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FE85F">
            <w:pPr>
              <w:spacing w:before="0"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  <w:t>γESO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249E5">
            <w:pPr>
              <w:spacing w:before="0" w:after="0" w:line="240" w:lineRule="auto"/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  <w:t>ESO 补偿门控系数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9B7AC">
            <w:pPr>
              <w:spacing w:before="0"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  <w:t>无量纲</w:t>
            </w:r>
          </w:p>
        </w:tc>
      </w:tr>
      <w:tr w14:paraId="077EDEC3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BDC02">
            <w:pPr>
              <w:spacing w:before="0"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  <w:t>τcmd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3E084">
            <w:pPr>
              <w:spacing w:before="0" w:after="0" w:line="240" w:lineRule="auto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lang w:eastAsia="zh-CN"/>
              </w:rPr>
              <w:t>最终发送给电机的命令力矩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ECBC">
            <w:pPr>
              <w:spacing w:before="0"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  <w:t>N·m</w:t>
            </w:r>
          </w:p>
        </w:tc>
      </w:tr>
    </w:tbl>
    <w:p w14:paraId="29349910">
      <w:pPr>
        <w:pStyle w:val="165"/>
        <w:spacing w:before="0" w:after="0" w:line="240" w:lineRule="auto"/>
        <w:rPr>
          <w:rFonts w:ascii="Times New Roman" w:hAnsi="Times New Roman" w:eastAsia="宋体" w:cs="Times New Roman"/>
          <w:color w:val="000000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lang w:eastAsia="zh-CN"/>
        </w:rPr>
        <w:t>注：表中只列数学符号、含义和单位，不包含具体参数数值。</w:t>
      </w:r>
    </w:p>
    <w:sectPr>
      <w:headerReference r:id="rId6" w:type="first"/>
      <w:footerReference r:id="rId9" w:type="first"/>
      <w:footerReference r:id="rId7" w:type="default"/>
      <w:headerReference r:id="rId5" w:type="even"/>
      <w:footerReference r:id="rId8" w:type="even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9D5204">
    <w:pPr>
      <w:pStyle w:val="24"/>
      <w:jc w:val="center"/>
      <w:rPr>
        <w:lang w:eastAsia="zh-CN"/>
      </w:rPr>
    </w:pPr>
    <w:r>
      <w:rPr>
        <w:color w:val="555555"/>
        <w:sz w:val="19"/>
        <w:lang w:eastAsia="zh-CN"/>
      </w:rPr>
      <w:t>南京理工大学 | 戴子轩 | 2026/5/16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82315D">
    <w:pPr>
      <w:pStyle w:val="2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459F39">
    <w:pPr>
      <w:pStyle w:val="2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3E5B8F">
    <w:pPr>
      <w:pStyle w:val="2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63BDAA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4CC84953"/>
    <w:multiLevelType w:val="multilevel"/>
    <w:tmpl w:val="4CC8495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84D09"/>
    <w:rsid w:val="0029639D"/>
    <w:rsid w:val="00326F90"/>
    <w:rsid w:val="00537C27"/>
    <w:rsid w:val="00A121ED"/>
    <w:rsid w:val="00AA1D8D"/>
    <w:rsid w:val="00AB0E46"/>
    <w:rsid w:val="00AD2FF5"/>
    <w:rsid w:val="00B47730"/>
    <w:rsid w:val="00BC21EC"/>
    <w:rsid w:val="00CB0664"/>
    <w:rsid w:val="00CD29AB"/>
    <w:rsid w:val="00EF0CFB"/>
    <w:rsid w:val="00F23218"/>
    <w:rsid w:val="00F41064"/>
    <w:rsid w:val="00FC693F"/>
    <w:rsid w:val="E7F78059"/>
    <w:rsid w:val="F5F60961"/>
    <w:rsid w:val="F7FF5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240" w:lineRule="auto"/>
    </w:pPr>
    <w:rPr>
      <w:rFonts w:ascii="Times New Roman" w:hAnsi="Times New Roman" w:eastAsia="宋体" w:cs="Times New Roman"/>
      <w:color w:val="000000"/>
      <w:sz w:val="24"/>
      <w:szCs w:val="24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0" w:after="0" w:line="240" w:lineRule="auto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0" w:after="0" w:line="240" w:lineRule="auto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0" w:after="0" w:line="240" w:lineRule="auto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0" w:after="0" w:line="240" w:lineRule="auto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0" w:after="0" w:line="240" w:lineRule="auto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0" w:after="0" w:line="240" w:lineRule="auto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0" w:after="0" w:line="240" w:lineRule="auto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0" w:after="0" w:line="240" w:lineRule="auto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0" w:after="0" w:line="240" w:lineRule="auto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before="0" w:after="0" w:line="240" w:lineRule="auto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spacing w:before="0" w:after="0" w:line="240" w:lineRule="auto"/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spacing w:before="0" w:after="0" w:line="240" w:lineRule="auto"/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before="0" w:after="0" w:line="240" w:lineRule="auto"/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before="0" w:after="0" w:line="240" w:lineRule="auto"/>
    </w:pPr>
    <w:rPr>
      <w:rFonts w:ascii="Times New Roman" w:hAnsi="Times New Roman" w:eastAsia="宋体" w:cs="Times New Roman"/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before="0" w:after="0" w:line="240" w:lineRule="auto"/>
      <w:contextualSpacing/>
    </w:pPr>
  </w:style>
  <w:style w:type="paragraph" w:styleId="17">
    <w:name w:val="Body Text 3"/>
    <w:basedOn w:val="1"/>
    <w:link w:val="146"/>
    <w:unhideWhenUsed/>
    <w:uiPriority w:val="99"/>
    <w:rPr>
      <w:rFonts w:ascii="Times New Roman" w:hAnsi="Times New Roman" w:eastAsia="宋体" w:cs="Times New Roman"/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spacing w:before="0" w:after="0" w:line="240" w:lineRule="auto"/>
      <w:contextualSpacing/>
    </w:pPr>
  </w:style>
  <w:style w:type="paragraph" w:styleId="19">
    <w:name w:val="Body Text"/>
    <w:basedOn w:val="1"/>
    <w:link w:val="144"/>
    <w:unhideWhenUsed/>
    <w:uiPriority w:val="99"/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spacing w:before="0" w:after="0" w:line="240" w:lineRule="auto"/>
      <w:contextualSpacing/>
    </w:pPr>
  </w:style>
  <w:style w:type="paragraph" w:styleId="21">
    <w:name w:val="List 2"/>
    <w:basedOn w:val="1"/>
    <w:unhideWhenUsed/>
    <w:uiPriority w:val="99"/>
    <w:pPr>
      <w:spacing w:before="0" w:after="0" w:line="240" w:lineRule="auto"/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before="0" w:after="0" w:line="240" w:lineRule="auto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spacing w:before="0" w:after="0" w:line="240" w:lineRule="auto"/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before="0"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before="0"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spacing w:before="0" w:after="0" w:line="240" w:lineRule="auto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spacing w:before="0" w:after="0" w:line="240" w:lineRule="auto"/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before="0" w:after="0" w:line="240" w:lineRule="auto"/>
    </w:pPr>
  </w:style>
  <w:style w:type="paragraph" w:styleId="29">
    <w:name w:val="List Continue 2"/>
    <w:basedOn w:val="1"/>
    <w:unhideWhenUsed/>
    <w:uiPriority w:val="99"/>
    <w:pPr>
      <w:spacing w:before="0" w:after="0" w:line="240" w:lineRule="auto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before="0" w:after="0" w:line="240" w:lineRule="auto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0" w:after="0" w:line="240" w:lineRule="auto"/>
      <w:contextualSpacing/>
    </w:pPr>
    <w:rPr>
      <w:rFonts w:asciiTheme="majorHAnsi" w:hAnsiTheme="majorHAnsi" w:eastAsiaTheme="majorEastAsia" w:cstheme="majorBidi"/>
      <w:spacing w:val="5"/>
      <w:kern w:val="28"/>
      <w:sz w:val="46"/>
      <w:szCs w:val="52"/>
    </w:rPr>
  </w:style>
  <w:style w:type="table" w:styleId="33">
    <w:name w:val="Table Grid"/>
    <w:basedOn w:val="32"/>
    <w:uiPriority w:val="59"/>
    <w:pPr>
      <w:spacing w:before="0"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before="0" w:after="0" w:line="240" w:lineRule="auto"/>
    </w:pPr>
    <w:rPr>
      <w:rFonts w:ascii="Times New Roman" w:hAnsi="Times New Roman" w:eastAsia="宋体" w:cs="Times New Roman"/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before="0" w:after="0" w:line="240" w:lineRule="auto"/>
    </w:pPr>
    <w:rPr>
      <w:rFonts w:ascii="Times New Roman" w:hAnsi="Times New Roman" w:eastAsia="宋体" w:cs="Times New Roman"/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before="0" w:after="0" w:line="240" w:lineRule="auto"/>
    </w:pPr>
    <w:rPr>
      <w:rFonts w:ascii="Times New Roman" w:hAnsi="Times New Roman" w:eastAsia="宋体" w:cs="Times New Roman"/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before="0" w:after="0" w:line="240" w:lineRule="auto"/>
    </w:pPr>
    <w:rPr>
      <w:rFonts w:ascii="Times New Roman" w:hAnsi="Times New Roman" w:eastAsia="宋体" w:cs="Times New Roman"/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before="0" w:after="0" w:line="240" w:lineRule="auto"/>
    </w:pPr>
    <w:rPr>
      <w:rFonts w:ascii="Times New Roman" w:hAnsi="Times New Roman" w:eastAsia="宋体" w:cs="Times New Roman"/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before="0" w:after="0" w:line="240" w:lineRule="auto"/>
    </w:pPr>
    <w:rPr>
      <w:rFonts w:ascii="Times New Roman" w:hAnsi="Times New Roman" w:eastAsia="宋体" w:cs="Times New Roman"/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before="0" w:after="0" w:line="240" w:lineRule="auto"/>
    </w:pPr>
    <w:rPr>
      <w:rFonts w:ascii="Times New Roman" w:hAnsi="Times New Roman" w:eastAsia="宋体" w:cs="Times New Roman"/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before="0"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before="0"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before="0"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before="0"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before="0"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before="0"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before="0"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before="0"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before="0"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before="0"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before="0"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before="0"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before="0"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before="0"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before="0"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before="0"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before="0"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before="0"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before="0"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before="0"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before="0"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before="0"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eastAsia="宋体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Times New Roman" w:hAnsi="Times New Roman" w:eastAsia="宋体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eastAsia="宋体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before="0"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eastAsia="宋体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Times New Roman" w:hAnsi="Times New Roman" w:eastAsia="宋体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eastAsia="宋体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before="0"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eastAsia="宋体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Times New Roman" w:hAnsi="Times New Roman" w:eastAsia="宋体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eastAsia="宋体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before="0"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eastAsia="宋体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Times New Roman" w:hAnsi="Times New Roman" w:eastAsia="宋体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eastAsia="宋体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before="0"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eastAsia="宋体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Times New Roman" w:hAnsi="Times New Roman" w:eastAsia="宋体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eastAsia="宋体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before="0"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eastAsia="宋体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Times New Roman" w:hAnsi="Times New Roman" w:eastAsia="宋体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eastAsia="宋体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before="0"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eastAsia="宋体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Times New Roman" w:hAnsi="Times New Roman" w:eastAsia="宋体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eastAsia="宋体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before="0"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rFonts w:ascii="Times New Roman" w:hAnsi="Times New Roman" w:eastAsia="宋体" w:cs="Times New Roman"/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before="0"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rFonts w:ascii="Times New Roman" w:hAnsi="Times New Roman" w:eastAsia="宋体" w:cs="Times New Roman"/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before="0"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rFonts w:ascii="Times New Roman" w:hAnsi="Times New Roman" w:eastAsia="宋体" w:cs="Times New Roman"/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before="0"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rFonts w:ascii="Times New Roman" w:hAnsi="Times New Roman" w:eastAsia="宋体" w:cs="Times New Roman"/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before="0"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rFonts w:ascii="Times New Roman" w:hAnsi="Times New Roman" w:eastAsia="宋体" w:cs="Times New Roman"/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before="0"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rFonts w:ascii="Times New Roman" w:hAnsi="Times New Roman" w:eastAsia="宋体" w:cs="Times New Roman"/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before="0"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rFonts w:ascii="Times New Roman" w:hAnsi="Times New Roman" w:eastAsia="宋体" w:cs="Times New Roman"/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before="0"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rFonts w:ascii="Times New Roman" w:hAnsi="Times New Roman" w:eastAsia="宋体" w:cs="Times New Roman"/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before="0"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rFonts w:ascii="Times New Roman" w:hAnsi="Times New Roman" w:eastAsia="宋体" w:cs="Times New Roman"/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before="0"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rFonts w:ascii="Times New Roman" w:hAnsi="Times New Roman" w:eastAsia="宋体" w:cs="Times New Roman"/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before="0"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rFonts w:ascii="Times New Roman" w:hAnsi="Times New Roman" w:eastAsia="宋体" w:cs="Times New Roman"/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before="0"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rFonts w:ascii="Times New Roman" w:hAnsi="Times New Roman" w:eastAsia="宋体" w:cs="Times New Roman"/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before="0"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rFonts w:ascii="Times New Roman" w:hAnsi="Times New Roman" w:eastAsia="宋体" w:cs="Times New Roman"/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before="0"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rFonts w:ascii="Times New Roman" w:hAnsi="Times New Roman" w:eastAsia="宋体" w:cs="Times New Roman"/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before="0"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rFonts w:ascii="Times New Roman" w:hAnsi="Times New Roman" w:eastAsia="宋体" w:cs="Times New Roman"/>
        <w:b/>
        <w:bCs/>
      </w:rPr>
    </w:tblStylePr>
    <w:tblStylePr w:type="lastRow">
      <w:rPr>
        <w:rFonts w:ascii="Times New Roman" w:hAnsi="Times New Roman" w:eastAsia="宋体" w:cs="Times New Roman"/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before="0"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rFonts w:ascii="Times New Roman" w:hAnsi="Times New Roman" w:eastAsia="宋体" w:cs="Times New Roman"/>
        <w:b/>
        <w:bCs/>
      </w:rPr>
    </w:tblStylePr>
    <w:tblStylePr w:type="lastRow">
      <w:rPr>
        <w:rFonts w:ascii="Times New Roman" w:hAnsi="Times New Roman" w:eastAsia="宋体" w:cs="Times New Roman"/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before="0"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rFonts w:ascii="Times New Roman" w:hAnsi="Times New Roman" w:eastAsia="宋体" w:cs="Times New Roman"/>
        <w:b/>
        <w:bCs/>
      </w:rPr>
    </w:tblStylePr>
    <w:tblStylePr w:type="lastRow">
      <w:rPr>
        <w:rFonts w:ascii="Times New Roman" w:hAnsi="Times New Roman" w:eastAsia="宋体" w:cs="Times New Roman"/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before="0"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rFonts w:ascii="Times New Roman" w:hAnsi="Times New Roman" w:eastAsia="宋体" w:cs="Times New Roman"/>
        <w:b/>
        <w:bCs/>
      </w:rPr>
    </w:tblStylePr>
    <w:tblStylePr w:type="lastRow">
      <w:rPr>
        <w:rFonts w:ascii="Times New Roman" w:hAnsi="Times New Roman" w:eastAsia="宋体" w:cs="Times New Roman"/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before="0"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rFonts w:ascii="Times New Roman" w:hAnsi="Times New Roman" w:eastAsia="宋体" w:cs="Times New Roman"/>
        <w:b/>
        <w:bCs/>
      </w:rPr>
    </w:tblStylePr>
    <w:tblStylePr w:type="lastRow">
      <w:rPr>
        <w:rFonts w:ascii="Times New Roman" w:hAnsi="Times New Roman" w:eastAsia="宋体" w:cs="Times New Roman"/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before="0"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rFonts w:ascii="Times New Roman" w:hAnsi="Times New Roman" w:eastAsia="宋体" w:cs="Times New Roman"/>
        <w:b/>
        <w:bCs/>
      </w:rPr>
    </w:tblStylePr>
    <w:tblStylePr w:type="lastRow">
      <w:rPr>
        <w:rFonts w:ascii="Times New Roman" w:hAnsi="Times New Roman" w:eastAsia="宋体" w:cs="Times New Roman"/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before="0"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rFonts w:ascii="Times New Roman" w:hAnsi="Times New Roman" w:eastAsia="宋体" w:cs="Times New Roman"/>
        <w:b/>
        <w:bCs/>
      </w:rPr>
    </w:tblStylePr>
    <w:tblStylePr w:type="lastRow">
      <w:rPr>
        <w:rFonts w:ascii="Times New Roman" w:hAnsi="Times New Roman" w:eastAsia="宋体" w:cs="Times New Roman"/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before="0"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rFonts w:ascii="Times New Roman" w:hAnsi="Times New Roman" w:eastAsia="宋体" w:cs="Times New Roman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rFonts w:ascii="Times New Roman" w:hAnsi="Times New Roman" w:eastAsia="宋体" w:cs="Times New Roman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eastAsia="宋体" w:cs="Times New Roman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eastAsia="宋体" w:cs="Times New Roman"/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before="0"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rFonts w:ascii="Times New Roman" w:hAnsi="Times New Roman" w:eastAsia="宋体" w:cs="Times New Roman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rFonts w:ascii="Times New Roman" w:hAnsi="Times New Roman" w:eastAsia="宋体" w:cs="Times New Roman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eastAsia="宋体" w:cs="Times New Roman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eastAsia="宋体" w:cs="Times New Roman"/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before="0"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rFonts w:ascii="Times New Roman" w:hAnsi="Times New Roman" w:eastAsia="宋体" w:cs="Times New Roman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rFonts w:ascii="Times New Roman" w:hAnsi="Times New Roman" w:eastAsia="宋体" w:cs="Times New Roman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eastAsia="宋体" w:cs="Times New Roman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eastAsia="宋体" w:cs="Times New Roman"/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before="0"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rFonts w:ascii="Times New Roman" w:hAnsi="Times New Roman" w:eastAsia="宋体" w:cs="Times New Roman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rFonts w:ascii="Times New Roman" w:hAnsi="Times New Roman" w:eastAsia="宋体" w:cs="Times New Roman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eastAsia="宋体" w:cs="Times New Roman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eastAsia="宋体" w:cs="Times New Roman"/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before="0"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rFonts w:ascii="Times New Roman" w:hAnsi="Times New Roman" w:eastAsia="宋体" w:cs="Times New Roman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rFonts w:ascii="Times New Roman" w:hAnsi="Times New Roman" w:eastAsia="宋体" w:cs="Times New Roman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eastAsia="宋体" w:cs="Times New Roman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eastAsia="宋体" w:cs="Times New Roman"/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before="0"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rFonts w:ascii="Times New Roman" w:hAnsi="Times New Roman" w:eastAsia="宋体" w:cs="Times New Roman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rFonts w:ascii="Times New Roman" w:hAnsi="Times New Roman" w:eastAsia="宋体" w:cs="Times New Roman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eastAsia="宋体" w:cs="Times New Roman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eastAsia="宋体" w:cs="Times New Roman"/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before="0"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rFonts w:ascii="Times New Roman" w:hAnsi="Times New Roman" w:eastAsia="宋体" w:cs="Times New Roman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rFonts w:ascii="Times New Roman" w:hAnsi="Times New Roman" w:eastAsia="宋体" w:cs="Times New Roman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eastAsia="宋体" w:cs="Times New Roman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eastAsia="宋体" w:cs="Times New Roman"/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before="0"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rFonts w:ascii="Times New Roman" w:hAnsi="Times New Roman" w:eastAsia="宋体" w:cs="Times New Roman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rFonts w:ascii="Times New Roman" w:hAnsi="Times New Roman" w:eastAsia="宋体" w:cs="Times New Roman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rFonts w:ascii="Times New Roman" w:hAnsi="Times New Roman" w:eastAsia="宋体" w:cs="Times New Roman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Times New Roman" w:hAnsi="Times New Roman" w:eastAsia="宋体" w:cs="Times New Roman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before="0"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rFonts w:ascii="Times New Roman" w:hAnsi="Times New Roman" w:eastAsia="宋体" w:cs="Times New Roman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rFonts w:ascii="Times New Roman" w:hAnsi="Times New Roman" w:eastAsia="宋体" w:cs="Times New Roman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rFonts w:ascii="Times New Roman" w:hAnsi="Times New Roman" w:eastAsia="宋体" w:cs="Times New Roman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Times New Roman" w:hAnsi="Times New Roman" w:eastAsia="宋体" w:cs="Times New Roman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before="0"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rFonts w:ascii="Times New Roman" w:hAnsi="Times New Roman" w:eastAsia="宋体" w:cs="Times New Roman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rFonts w:ascii="Times New Roman" w:hAnsi="Times New Roman" w:eastAsia="宋体" w:cs="Times New Roman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rFonts w:ascii="Times New Roman" w:hAnsi="Times New Roman" w:eastAsia="宋体" w:cs="Times New Roman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Times New Roman" w:hAnsi="Times New Roman" w:eastAsia="宋体" w:cs="Times New Roman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before="0"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rFonts w:ascii="Times New Roman" w:hAnsi="Times New Roman" w:eastAsia="宋体" w:cs="Times New Roman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rFonts w:ascii="Times New Roman" w:hAnsi="Times New Roman" w:eastAsia="宋体" w:cs="Times New Roman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rFonts w:ascii="Times New Roman" w:hAnsi="Times New Roman" w:eastAsia="宋体" w:cs="Times New Roman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Times New Roman" w:hAnsi="Times New Roman" w:eastAsia="宋体" w:cs="Times New Roman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before="0"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rFonts w:ascii="Times New Roman" w:hAnsi="Times New Roman" w:eastAsia="宋体" w:cs="Times New Roman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rFonts w:ascii="Times New Roman" w:hAnsi="Times New Roman" w:eastAsia="宋体" w:cs="Times New Roman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rFonts w:ascii="Times New Roman" w:hAnsi="Times New Roman" w:eastAsia="宋体" w:cs="Times New Roman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Times New Roman" w:hAnsi="Times New Roman" w:eastAsia="宋体" w:cs="Times New Roman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before="0"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rFonts w:ascii="Times New Roman" w:hAnsi="Times New Roman" w:eastAsia="宋体" w:cs="Times New Roman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rFonts w:ascii="Times New Roman" w:hAnsi="Times New Roman" w:eastAsia="宋体" w:cs="Times New Roman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rFonts w:ascii="Times New Roman" w:hAnsi="Times New Roman" w:eastAsia="宋体" w:cs="Times New Roman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Times New Roman" w:hAnsi="Times New Roman" w:eastAsia="宋体" w:cs="Times New Roman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before="0"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rFonts w:ascii="Times New Roman" w:hAnsi="Times New Roman" w:eastAsia="宋体" w:cs="Times New Roman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rFonts w:ascii="Times New Roman" w:hAnsi="Times New Roman" w:eastAsia="宋体" w:cs="Times New Roman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rFonts w:ascii="Times New Roman" w:hAnsi="Times New Roman" w:eastAsia="宋体" w:cs="Times New Roman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Times New Roman" w:hAnsi="Times New Roman" w:eastAsia="宋体" w:cs="Times New Roman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before="0" w:after="0" w:line="240" w:lineRule="auto"/>
    </w:pPr>
    <w:rPr>
      <w:rFonts w:ascii="Times New Roman" w:hAnsi="Times New Roman" w:eastAsia="宋体" w:cs="Times New Roman"/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rFonts w:ascii="Times New Roman" w:hAnsi="Times New Roman" w:eastAsia="宋体" w:cs="Times New Roman"/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before="0" w:after="0" w:line="240" w:lineRule="auto"/>
    </w:pPr>
    <w:rPr>
      <w:rFonts w:ascii="Times New Roman" w:hAnsi="Times New Roman" w:eastAsia="宋体" w:cs="Times New Roman"/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rFonts w:ascii="Times New Roman" w:hAnsi="Times New Roman" w:eastAsia="宋体" w:cs="Times New Roman"/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before="0" w:after="0" w:line="240" w:lineRule="auto"/>
    </w:pPr>
    <w:rPr>
      <w:rFonts w:ascii="Times New Roman" w:hAnsi="Times New Roman" w:eastAsia="宋体" w:cs="Times New Roman"/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rFonts w:ascii="Times New Roman" w:hAnsi="Times New Roman" w:eastAsia="宋体" w:cs="Times New Roman"/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before="0" w:after="0" w:line="240" w:lineRule="auto"/>
    </w:pPr>
    <w:rPr>
      <w:rFonts w:ascii="Times New Roman" w:hAnsi="Times New Roman" w:eastAsia="宋体" w:cs="Times New Roman"/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rFonts w:ascii="Times New Roman" w:hAnsi="Times New Roman" w:eastAsia="宋体" w:cs="Times New Roman"/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before="0" w:after="0" w:line="240" w:lineRule="auto"/>
    </w:pPr>
    <w:rPr>
      <w:rFonts w:ascii="Times New Roman" w:hAnsi="Times New Roman" w:eastAsia="宋体" w:cs="Times New Roman"/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rFonts w:ascii="Times New Roman" w:hAnsi="Times New Roman" w:eastAsia="宋体" w:cs="Times New Roman"/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before="0" w:after="0" w:line="240" w:lineRule="auto"/>
    </w:pPr>
    <w:rPr>
      <w:rFonts w:ascii="Times New Roman" w:hAnsi="Times New Roman" w:eastAsia="宋体" w:cs="Times New Roman"/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rFonts w:ascii="Times New Roman" w:hAnsi="Times New Roman" w:eastAsia="宋体" w:cs="Times New Roman"/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before="0" w:after="0" w:line="240" w:lineRule="auto"/>
    </w:pPr>
    <w:rPr>
      <w:rFonts w:ascii="Times New Roman" w:hAnsi="Times New Roman" w:eastAsia="宋体" w:cs="Times New Roman"/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rFonts w:ascii="Times New Roman" w:hAnsi="Times New Roman" w:eastAsia="宋体" w:cs="Times New Roman"/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before="0"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rFonts w:ascii="Times New Roman" w:hAnsi="Times New Roman" w:eastAsia="宋体" w:cs="Times New Roman"/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eastAsia="宋体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rFonts w:ascii="Times New Roman" w:hAnsi="Times New Roman" w:eastAsia="宋体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rFonts w:ascii="Times New Roman" w:hAnsi="Times New Roman" w:eastAsia="宋体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rFonts w:ascii="Times New Roman" w:hAnsi="Times New Roman" w:eastAsia="宋体" w:cs="Times New Roman"/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rFonts w:ascii="Times New Roman" w:hAnsi="Times New Roman" w:eastAsia="宋体" w:cs="Times New Roman"/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before="0"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rFonts w:ascii="Times New Roman" w:hAnsi="Times New Roman" w:eastAsia="宋体" w:cs="Times New Roman"/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eastAsia="宋体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rFonts w:ascii="Times New Roman" w:hAnsi="Times New Roman" w:eastAsia="宋体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rFonts w:ascii="Times New Roman" w:hAnsi="Times New Roman" w:eastAsia="宋体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rFonts w:ascii="Times New Roman" w:hAnsi="Times New Roman" w:eastAsia="宋体" w:cs="Times New Roman"/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rFonts w:ascii="Times New Roman" w:hAnsi="Times New Roman" w:eastAsia="宋体" w:cs="Times New Roman"/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before="0"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rFonts w:ascii="Times New Roman" w:hAnsi="Times New Roman" w:eastAsia="宋体" w:cs="Times New Roman"/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eastAsia="宋体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rFonts w:ascii="Times New Roman" w:hAnsi="Times New Roman" w:eastAsia="宋体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rFonts w:ascii="Times New Roman" w:hAnsi="Times New Roman" w:eastAsia="宋体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rFonts w:ascii="Times New Roman" w:hAnsi="Times New Roman" w:eastAsia="宋体" w:cs="Times New Roman"/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rFonts w:ascii="Times New Roman" w:hAnsi="Times New Roman" w:eastAsia="宋体" w:cs="Times New Roman"/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before="0"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rFonts w:ascii="Times New Roman" w:hAnsi="Times New Roman" w:eastAsia="宋体" w:cs="Times New Roman"/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eastAsia="宋体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rFonts w:ascii="Times New Roman" w:hAnsi="Times New Roman" w:eastAsia="宋体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rFonts w:ascii="Times New Roman" w:hAnsi="Times New Roman" w:eastAsia="宋体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before="0"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rFonts w:ascii="Times New Roman" w:hAnsi="Times New Roman" w:eastAsia="宋体" w:cs="Times New Roman"/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eastAsia="宋体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rFonts w:ascii="Times New Roman" w:hAnsi="Times New Roman" w:eastAsia="宋体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rFonts w:ascii="Times New Roman" w:hAnsi="Times New Roman" w:eastAsia="宋体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rFonts w:ascii="Times New Roman" w:hAnsi="Times New Roman" w:eastAsia="宋体" w:cs="Times New Roman"/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rFonts w:ascii="Times New Roman" w:hAnsi="Times New Roman" w:eastAsia="宋体" w:cs="Times New Roman"/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before="0"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rFonts w:ascii="Times New Roman" w:hAnsi="Times New Roman" w:eastAsia="宋体" w:cs="Times New Roman"/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eastAsia="宋体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rFonts w:ascii="Times New Roman" w:hAnsi="Times New Roman" w:eastAsia="宋体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rFonts w:ascii="Times New Roman" w:hAnsi="Times New Roman" w:eastAsia="宋体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rFonts w:ascii="Times New Roman" w:hAnsi="Times New Roman" w:eastAsia="宋体" w:cs="Times New Roman"/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rFonts w:ascii="Times New Roman" w:hAnsi="Times New Roman" w:eastAsia="宋体" w:cs="Times New Roman"/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before="0"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rFonts w:ascii="Times New Roman" w:hAnsi="Times New Roman" w:eastAsia="宋体" w:cs="Times New Roman"/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eastAsia="宋体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rFonts w:ascii="Times New Roman" w:hAnsi="Times New Roman" w:eastAsia="宋体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rFonts w:ascii="Times New Roman" w:hAnsi="Times New Roman" w:eastAsia="宋体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rFonts w:ascii="Times New Roman" w:hAnsi="Times New Roman" w:eastAsia="宋体" w:cs="Times New Roman"/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rFonts w:ascii="Times New Roman" w:hAnsi="Times New Roman" w:eastAsia="宋体" w:cs="Times New Roman"/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before="0"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rFonts w:ascii="Times New Roman" w:hAnsi="Times New Roman" w:eastAsia="宋体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rFonts w:ascii="Times New Roman" w:hAnsi="Times New Roman" w:eastAsia="宋体" w:cs="Times New Roman"/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before="0"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rFonts w:ascii="Times New Roman" w:hAnsi="Times New Roman" w:eastAsia="宋体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rFonts w:ascii="Times New Roman" w:hAnsi="Times New Roman" w:eastAsia="宋体" w:cs="Times New Roman"/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before="0"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rFonts w:ascii="Times New Roman" w:hAnsi="Times New Roman" w:eastAsia="宋体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rFonts w:ascii="Times New Roman" w:hAnsi="Times New Roman" w:eastAsia="宋体" w:cs="Times New Roman"/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before="0"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rFonts w:ascii="Times New Roman" w:hAnsi="Times New Roman" w:eastAsia="宋体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rFonts w:ascii="Times New Roman" w:hAnsi="Times New Roman" w:eastAsia="宋体" w:cs="Times New Roman"/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before="0"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rFonts w:ascii="Times New Roman" w:hAnsi="Times New Roman" w:eastAsia="宋体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rFonts w:ascii="Times New Roman" w:hAnsi="Times New Roman" w:eastAsia="宋体" w:cs="Times New Roman"/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before="0"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rFonts w:ascii="Times New Roman" w:hAnsi="Times New Roman" w:eastAsia="宋体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rFonts w:ascii="Times New Roman" w:hAnsi="Times New Roman" w:eastAsia="宋体" w:cs="Times New Roman"/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before="0"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rFonts w:ascii="Times New Roman" w:hAnsi="Times New Roman" w:eastAsia="宋体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rFonts w:ascii="Times New Roman" w:hAnsi="Times New Roman" w:eastAsia="宋体" w:cs="Times New Roman"/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before="0"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rFonts w:ascii="Times New Roman" w:hAnsi="Times New Roman" w:eastAsia="宋体" w:cs="Times New Roman"/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rFonts w:ascii="Times New Roman" w:hAnsi="Times New Roman" w:eastAsia="宋体" w:cs="Times New Roman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rFonts w:ascii="Times New Roman" w:hAnsi="Times New Roman" w:eastAsia="宋体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rFonts w:ascii="Times New Roman" w:hAnsi="Times New Roman" w:eastAsia="宋体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before="0"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rFonts w:ascii="Times New Roman" w:hAnsi="Times New Roman" w:eastAsia="宋体" w:cs="Times New Roman"/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rFonts w:ascii="Times New Roman" w:hAnsi="Times New Roman" w:eastAsia="宋体" w:cs="Times New Roman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rFonts w:ascii="Times New Roman" w:hAnsi="Times New Roman" w:eastAsia="宋体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rFonts w:ascii="Times New Roman" w:hAnsi="Times New Roman" w:eastAsia="宋体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before="0"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rFonts w:ascii="Times New Roman" w:hAnsi="Times New Roman" w:eastAsia="宋体" w:cs="Times New Roman"/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rFonts w:ascii="Times New Roman" w:hAnsi="Times New Roman" w:eastAsia="宋体" w:cs="Times New Roman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rFonts w:ascii="Times New Roman" w:hAnsi="Times New Roman" w:eastAsia="宋体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rFonts w:ascii="Times New Roman" w:hAnsi="Times New Roman" w:eastAsia="宋体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before="0"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rFonts w:ascii="Times New Roman" w:hAnsi="Times New Roman" w:eastAsia="宋体" w:cs="Times New Roman"/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rFonts w:ascii="Times New Roman" w:hAnsi="Times New Roman" w:eastAsia="宋体" w:cs="Times New Roman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rFonts w:ascii="Times New Roman" w:hAnsi="Times New Roman" w:eastAsia="宋体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rFonts w:ascii="Times New Roman" w:hAnsi="Times New Roman" w:eastAsia="宋体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before="0"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rFonts w:ascii="Times New Roman" w:hAnsi="Times New Roman" w:eastAsia="宋体" w:cs="Times New Roman"/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rFonts w:ascii="Times New Roman" w:hAnsi="Times New Roman" w:eastAsia="宋体" w:cs="Times New Roman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rFonts w:ascii="Times New Roman" w:hAnsi="Times New Roman" w:eastAsia="宋体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rFonts w:ascii="Times New Roman" w:hAnsi="Times New Roman" w:eastAsia="宋体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before="0"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rFonts w:ascii="Times New Roman" w:hAnsi="Times New Roman" w:eastAsia="宋体" w:cs="Times New Roman"/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rFonts w:ascii="Times New Roman" w:hAnsi="Times New Roman" w:eastAsia="宋体" w:cs="Times New Roman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rFonts w:ascii="Times New Roman" w:hAnsi="Times New Roman" w:eastAsia="宋体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rFonts w:ascii="Times New Roman" w:hAnsi="Times New Roman" w:eastAsia="宋体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before="0"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rFonts w:ascii="Times New Roman" w:hAnsi="Times New Roman" w:eastAsia="宋体" w:cs="Times New Roman"/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rFonts w:ascii="Times New Roman" w:hAnsi="Times New Roman" w:eastAsia="宋体" w:cs="Times New Roman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rFonts w:ascii="Times New Roman" w:hAnsi="Times New Roman" w:eastAsia="宋体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rFonts w:ascii="Times New Roman" w:hAnsi="Times New Roman" w:eastAsia="宋体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rFonts w:ascii="Times New Roman" w:hAnsi="Times New Roman" w:eastAsia="宋体" w:cs="Times New Roman"/>
      <w:b/>
      <w:bCs/>
    </w:rPr>
  </w:style>
  <w:style w:type="character" w:styleId="134">
    <w:name w:val="Emphasis"/>
    <w:basedOn w:val="132"/>
    <w:qFormat/>
    <w:uiPriority w:val="20"/>
    <w:rPr>
      <w:rFonts w:ascii="Times New Roman" w:hAnsi="Times New Roman" w:eastAsia="宋体" w:cs="Times New Roman"/>
      <w:i/>
      <w:iCs/>
    </w:rPr>
  </w:style>
  <w:style w:type="character" w:customStyle="1" w:styleId="135">
    <w:name w:val="页眉 字符"/>
    <w:basedOn w:val="132"/>
    <w:link w:val="25"/>
    <w:uiPriority w:val="99"/>
  </w:style>
  <w:style w:type="character" w:customStyle="1" w:styleId="136">
    <w:name w:val="页脚 字符"/>
    <w:basedOn w:val="132"/>
    <w:link w:val="24"/>
    <w:uiPriority w:val="99"/>
  </w:style>
  <w:style w:type="paragraph" w:styleId="137">
    <w:name w:val="No Spacing"/>
    <w:qFormat/>
    <w:uiPriority w:val="1"/>
    <w:pPr>
      <w:spacing w:before="0" w:after="0" w:line="240" w:lineRule="auto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customStyle="1" w:styleId="138">
    <w:name w:val="标题 1 字符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spacing w:before="0" w:after="0" w:line="240" w:lineRule="auto"/>
      <w:ind w:left="720"/>
      <w:contextualSpacing/>
    </w:pPr>
  </w:style>
  <w:style w:type="character" w:customStyle="1" w:styleId="144">
    <w:name w:val="正文文本 字符"/>
    <w:basedOn w:val="132"/>
    <w:link w:val="19"/>
    <w:uiPriority w:val="99"/>
  </w:style>
  <w:style w:type="character" w:customStyle="1" w:styleId="145">
    <w:name w:val="正文文本 2 字符"/>
    <w:basedOn w:val="132"/>
    <w:link w:val="28"/>
    <w:uiPriority w:val="99"/>
  </w:style>
  <w:style w:type="character" w:customStyle="1" w:styleId="146">
    <w:name w:val="正文文本 3 字符"/>
    <w:basedOn w:val="132"/>
    <w:link w:val="17"/>
    <w:uiPriority w:val="99"/>
    <w:rPr>
      <w:rFonts w:ascii="Times New Roman" w:hAnsi="Times New Roman" w:eastAsia="宋体" w:cs="Times New Roman"/>
      <w:sz w:val="16"/>
      <w:szCs w:val="16"/>
    </w:rPr>
  </w:style>
  <w:style w:type="character" w:customStyle="1" w:styleId="147">
    <w:name w:val="宏文本 字符"/>
    <w:basedOn w:val="132"/>
    <w:link w:val="2"/>
    <w:uiPriority w:val="99"/>
    <w:rPr>
      <w:rFonts w:ascii="Times New Roman" w:hAnsi="Times New Roman" w:eastAsia="宋体" w:cs="Times New Roman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rFonts w:ascii="Times New Roman" w:hAnsi="Times New Roman" w:eastAsia="宋体" w:cs="Times New Roman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uiPriority w:val="29"/>
    <w:rPr>
      <w:rFonts w:ascii="Times New Roman" w:hAnsi="Times New Roman" w:eastAsia="宋体" w:cs="Times New Roman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0" w:after="0" w:line="240" w:lineRule="auto"/>
      <w:ind w:left="936" w:right="936"/>
    </w:pPr>
    <w:rPr>
      <w:rFonts w:ascii="Times New Roman" w:hAnsi="Times New Roman" w:eastAsia="宋体" w:cs="Times New Roman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rFonts w:ascii="Times New Roman" w:hAnsi="Times New Roman" w:eastAsia="宋体" w:cs="Times New Roman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rFonts w:ascii="Times New Roman" w:hAnsi="Times New Roman" w:eastAsia="宋体" w:cs="Times New Roman"/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rFonts w:ascii="Times New Roman" w:hAnsi="Times New Roman" w:eastAsia="宋体" w:cs="Times New Roman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rFonts w:ascii="Times New Roman" w:hAnsi="Times New Roman" w:eastAsia="宋体" w:cs="Times New Roman"/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rFonts w:ascii="Times New Roman" w:hAnsi="Times New Roman" w:eastAsia="宋体" w:cs="Times New Roman"/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rFonts w:ascii="Times New Roman" w:hAnsi="Times New Roman" w:eastAsia="宋体" w:cs="Times New Roman"/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spacing w:before="0" w:after="0" w:line="240" w:lineRule="auto"/>
      <w:outlineLvl w:val="9"/>
    </w:pPr>
  </w:style>
  <w:style w:type="paragraph" w:customStyle="1" w:styleId="164">
    <w:name w:val="Equation Block"/>
    <w:uiPriority w:val="0"/>
    <w:pPr>
      <w:spacing w:before="0" w:after="0" w:line="240" w:lineRule="auto"/>
      <w:ind w:left="403"/>
    </w:pPr>
    <w:rPr>
      <w:rFonts w:ascii="Times New Roman" w:hAnsi="Times New Roman" w:eastAsia="宋体" w:cs="Times New Roman"/>
      <w:color w:val="000000"/>
      <w:sz w:val="24"/>
      <w:szCs w:val="24"/>
      <w:lang w:val="en-US" w:eastAsia="en-US" w:bidi="ar-SA"/>
    </w:rPr>
  </w:style>
  <w:style w:type="paragraph" w:customStyle="1" w:styleId="165">
    <w:name w:val="Small Note"/>
    <w:uiPriority w:val="0"/>
    <w:pPr>
      <w:spacing w:before="0" w:after="0" w:line="240" w:lineRule="auto"/>
    </w:pPr>
    <w:rPr>
      <w:rFonts w:ascii="Times New Roman" w:hAnsi="Times New Roman" w:eastAsia="宋体" w:cs="Times New Roman"/>
      <w:color w:val="555555"/>
      <w:sz w:val="19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340</Words>
  <Characters>1942</Characters>
  <Lines>16</Lines>
  <Paragraphs>4</Paragraphs>
  <TotalTime>1</TotalTime>
  <ScaleCrop>false</ScaleCrop>
  <LinksUpToDate>false</LinksUpToDate>
  <CharactersWithSpaces>2278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Lamda</cp:lastModifiedBy>
  <dcterms:modified xsi:type="dcterms:W3CDTF">2026-05-16T01:18:59Z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BB20978ACFE5E2487853076AC10EB07E_42</vt:lpwstr>
  </property>
</Properties>
</file>