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URINALYSIS MANUAL PROCEDURE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Document Type:</w:t>
            </w:r>
          </w:p>
        </w:tc>
        <w:tc>
          <w:tcPr>
            <w:tcW w:type="dxa" w:w="4680"/>
          </w:tcPr>
          <w:p>
            <w:r>
              <w:t>Manual Dipstick Analysis and Quality Assurance</w:t>
            </w:r>
          </w:p>
        </w:tc>
      </w:tr>
      <w:tr>
        <w:tc>
          <w:tcPr>
            <w:tcW w:type="dxa" w:w="4680"/>
          </w:tcPr>
          <w:p>
            <w:r>
              <w:t>Effective Date:</w:t>
            </w:r>
          </w:p>
        </w:tc>
        <w:tc>
          <w:tcPr>
            <w:tcW w:type="dxa" w:w="4680"/>
          </w:tcPr>
          <w:p>
            <w:r>
              <w:t>August 01, 2025</w:t>
            </w:r>
          </w:p>
        </w:tc>
      </w:tr>
      <w:tr>
        <w:tc>
          <w:tcPr>
            <w:tcW w:type="dxa" w:w="4680"/>
          </w:tcPr>
          <w:p>
            <w:r>
              <w:t>Department:</w:t>
            </w:r>
          </w:p>
        </w:tc>
        <w:tc>
          <w:tcPr>
            <w:tcW w:type="dxa" w:w="4680"/>
          </w:tcPr>
          <w:p>
            <w:r>
              <w:t>Clinical Laboratory</w:t>
            </w:r>
          </w:p>
        </w:tc>
      </w:tr>
    </w:tbl>
    <w:p/>
    <w:p>
      <w:pPr>
        <w:pStyle w:val="Heading1"/>
      </w:pPr>
      <w:r>
        <w:t>MANUAL DIPSTICK ANALYSIS</w:t>
      </w:r>
    </w:p>
    <w:p>
      <w:pPr>
        <w:pStyle w:val="Heading2"/>
      </w:pPr>
      <w:r>
        <w:t>Indications for Manual Testing</w:t>
      </w:r>
    </w:p>
    <w:p>
      <w:r>
        <w:t>Perform manual dipstick analysis only when:</w:t>
      </w:r>
    </w:p>
    <w:p>
      <w:pPr>
        <w:pStyle w:val="ListBullet"/>
      </w:pPr>
      <w:r>
        <w:t>• CLINITEK Novus is out of service</w:t>
      </w:r>
    </w:p>
    <w:p>
      <w:pPr>
        <w:pStyle w:val="ListBullet"/>
      </w:pPr>
      <w:r>
        <w:t>• Emergency backup testing is required</w:t>
      </w:r>
    </w:p>
    <w:p>
      <w:pPr>
        <w:pStyle w:val="ListBullet"/>
      </w:pPr>
      <w:r>
        <w:t>• Confirmation of automated results is needed</w:t>
      </w:r>
    </w:p>
    <w:p>
      <w:pPr>
        <w:pStyle w:val="ListBullet"/>
      </w:pPr>
      <w:r>
        <w:t>• Special circumstances as directed by supervisor</w:t>
      </w:r>
    </w:p>
    <w:p>
      <w:pPr>
        <w:pStyle w:val="Heading2"/>
      </w:pPr>
      <w:r>
        <w:t>Materials Required</w:t>
      </w:r>
    </w:p>
    <w:p>
      <w:pPr>
        <w:pStyle w:val="ListBullet"/>
      </w:pPr>
      <w:r>
        <w:t>• Multistix 10 SG or equivalent reagent strips</w:t>
      </w:r>
    </w:p>
    <w:p>
      <w:pPr>
        <w:pStyle w:val="ListBullet"/>
      </w:pPr>
      <w:r>
        <w:t>• Fresh urine specimen (well-mixed)</w:t>
      </w:r>
    </w:p>
    <w:p>
      <w:pPr>
        <w:pStyle w:val="ListBullet"/>
      </w:pPr>
      <w:r>
        <w:t>• Timer or stopwatch</w:t>
      </w:r>
    </w:p>
    <w:p>
      <w:pPr>
        <w:pStyle w:val="ListBullet"/>
      </w:pPr>
      <w:r>
        <w:t>• Color comparison chart (from reagent strip bottle)</w:t>
      </w:r>
    </w:p>
    <w:p>
      <w:pPr>
        <w:pStyle w:val="ListBullet"/>
      </w:pPr>
      <w:r>
        <w:t>• Clean, dry container if transfer is needed</w:t>
      </w:r>
    </w:p>
    <w:p>
      <w:pPr>
        <w:pStyle w:val="ListBullet"/>
      </w:pPr>
      <w:r>
        <w:t>• Absorbent paper</w:t>
      </w:r>
    </w:p>
    <w:p>
      <w:pPr>
        <w:pStyle w:val="Heading2"/>
      </w:pPr>
      <w:r>
        <w:t>Pre-Analytical Considerations</w:t>
      </w:r>
    </w:p>
    <w:p>
      <w:r>
        <w:rPr>
          <w:b/>
        </w:rPr>
        <w:t>IMPORTANT: Check reagent strip expiration date before use. Do not use expired strips.</w:t>
      </w:r>
    </w:p>
    <w:p>
      <w:pPr>
        <w:pStyle w:val="ListBullet"/>
      </w:pPr>
      <w:r>
        <w:t>• Store reagent strips in original container at room temperature (15-30°C)</w:t>
      </w:r>
    </w:p>
    <w:p>
      <w:pPr>
        <w:pStyle w:val="ListBullet"/>
      </w:pPr>
      <w:r>
        <w:t>• Keep container tightly closed when not in use</w:t>
      </w:r>
    </w:p>
    <w:p>
      <w:pPr>
        <w:pStyle w:val="ListBullet"/>
      </w:pPr>
      <w:r>
        <w:t>• Do not remove desiccant from bottle</w:t>
      </w:r>
    </w:p>
    <w:p>
      <w:pPr>
        <w:pStyle w:val="ListBullet"/>
      </w:pPr>
      <w:r>
        <w:t>• Do not touch test areas with fingers</w:t>
      </w:r>
    </w:p>
    <w:p>
      <w:pPr>
        <w:pStyle w:val="ListBullet"/>
      </w:pPr>
      <w:r>
        <w:t>• Specimen should be at room temperature before testing</w:t>
      </w:r>
    </w:p>
    <w:p>
      <w:pPr>
        <w:pStyle w:val="Heading2"/>
      </w:pPr>
      <w:r>
        <w:t>Procedure</w:t>
      </w:r>
    </w:p>
    <w:p>
      <w:r>
        <w:t>1. Specimen Preparation</w:t>
      </w:r>
    </w:p>
    <w:p>
      <w:pPr>
        <w:pStyle w:val="ListBullet2"/>
      </w:pPr>
      <w:r>
        <w:t xml:space="preserve">   • Mix specimen gently but thoroughly by inverting container 8-10 times</w:t>
      </w:r>
    </w:p>
    <w:p>
      <w:pPr>
        <w:pStyle w:val="ListBullet2"/>
      </w:pPr>
      <w:r>
        <w:t xml:space="preserve">   • Do not centrifuge specimen before chemical testing</w:t>
      </w:r>
    </w:p>
    <w:p>
      <w:pPr>
        <w:pStyle w:val="ListBullet2"/>
      </w:pPr>
      <w:r>
        <w:t xml:space="preserve">   • Test within 2 hours of collection if kept at room temperature</w:t>
      </w:r>
    </w:p>
    <w:p>
      <w:r>
        <w:t>2. Remove Reagent Strip</w:t>
      </w:r>
    </w:p>
    <w:p>
      <w:pPr>
        <w:pStyle w:val="ListBullet2"/>
      </w:pPr>
      <w:r>
        <w:t xml:space="preserve">   • Remove one strip from container</w:t>
      </w:r>
    </w:p>
    <w:p>
      <w:pPr>
        <w:pStyle w:val="ListBullet2"/>
      </w:pPr>
      <w:r>
        <w:t xml:space="preserve">   • Immediately replace cap tightly</w:t>
      </w:r>
    </w:p>
    <w:p>
      <w:pPr>
        <w:pStyle w:val="ListBullet2"/>
      </w:pPr>
      <w:r>
        <w:t xml:space="preserve">   • Do not remove strip until ready to test</w:t>
      </w:r>
    </w:p>
    <w:p>
      <w:r>
        <w:t>3. Immerse Strip</w:t>
      </w:r>
    </w:p>
    <w:p>
      <w:pPr>
        <w:pStyle w:val="ListBullet2"/>
      </w:pPr>
      <w:r>
        <w:t xml:space="preserve">   • Completely immerse all reagent areas in fresh, well-mixed urine</w:t>
      </w:r>
    </w:p>
    <w:p>
      <w:pPr>
        <w:pStyle w:val="ListBullet2"/>
      </w:pPr>
      <w:r>
        <w:t xml:space="preserve">   • Remove immediately - do not leave strip in urine</w:t>
      </w:r>
    </w:p>
    <w:p>
      <w:r>
        <w:t>4. Remove Excess Urine</w:t>
      </w:r>
    </w:p>
    <w:p>
      <w:pPr>
        <w:pStyle w:val="ListBullet2"/>
      </w:pPr>
      <w:r>
        <w:t xml:space="preserve">   • While removing, run edge of strip against rim of container</w:t>
      </w:r>
    </w:p>
    <w:p>
      <w:pPr>
        <w:pStyle w:val="ListBullet2"/>
      </w:pPr>
      <w:r>
        <w:t xml:space="preserve">   • Turn strip on its side and tap on absorbent paper</w:t>
      </w:r>
    </w:p>
    <w:p>
      <w:pPr>
        <w:pStyle w:val="ListBullet2"/>
      </w:pPr>
      <w:r>
        <w:t xml:space="preserve">   • This prevents reagents from running together</w:t>
      </w:r>
    </w:p>
    <w:p>
      <w:r>
        <w:t>5. Begin Timing</w:t>
      </w:r>
    </w:p>
    <w:p>
      <w:pPr>
        <w:pStyle w:val="ListBullet2"/>
      </w:pPr>
      <w:r>
        <w:t xml:space="preserve">   • Start timing immediately after removing excess urine</w:t>
      </w:r>
    </w:p>
    <w:p>
      <w:pPr>
        <w:pStyle w:val="ListBullet2"/>
      </w:pPr>
      <w:r>
        <w:t xml:space="preserve">   • Hold strip horizontal during entire read time</w:t>
      </w:r>
    </w:p>
    <w:p>
      <w:pPr>
        <w:pStyle w:val="ListBullet2"/>
      </w:pPr>
      <w:r>
        <w:t xml:space="preserve">   • Do not allow reagent areas to touch anything</w:t>
      </w:r>
    </w:p>
    <w:p>
      <w:r>
        <w:t>6. Read Results</w:t>
      </w:r>
    </w:p>
    <w:p>
      <w:pPr>
        <w:pStyle w:val="ListBullet2"/>
      </w:pPr>
      <w:r>
        <w:t xml:space="preserve">   • Compare each test pad to corresponding color blocks on bottle label</w:t>
      </w:r>
    </w:p>
    <w:p>
      <w:pPr>
        <w:pStyle w:val="ListBullet2"/>
      </w:pPr>
      <w:r>
        <w:t xml:space="preserve">   • Read at exact times specified for each test</w:t>
      </w:r>
    </w:p>
    <w:p>
      <w:pPr>
        <w:pStyle w:val="ListBullet2"/>
      </w:pPr>
      <w:r>
        <w:t xml:space="preserve">   • Read in good lighting conditions</w:t>
      </w:r>
    </w:p>
    <w:p>
      <w:pPr>
        <w:pStyle w:val="ListBullet2"/>
      </w:pPr>
      <w:r>
        <w:t xml:space="preserve">   • Record results immediately</w:t>
      </w:r>
    </w:p>
    <w:p>
      <w:pPr>
        <w:pStyle w:val="Heading2"/>
      </w:pPr>
      <w:r>
        <w:t>Reading Times and Interpretation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Test Parameter</w:t>
            </w:r>
          </w:p>
        </w:tc>
        <w:tc>
          <w:tcPr>
            <w:tcW w:type="dxa" w:w="2340"/>
          </w:tcPr>
          <w:p>
            <w:r>
              <w:t>Reading Time</w:t>
            </w:r>
          </w:p>
        </w:tc>
        <w:tc>
          <w:tcPr>
            <w:tcW w:type="dxa" w:w="2340"/>
          </w:tcPr>
          <w:p>
            <w:r>
              <w:t>Normal Range</w:t>
            </w:r>
          </w:p>
        </w:tc>
        <w:tc>
          <w:tcPr>
            <w:tcW w:type="dxa" w:w="2340"/>
          </w:tcPr>
          <w:p>
            <w:r>
              <w:t>Clinical Significance</w:t>
            </w:r>
          </w:p>
        </w:tc>
      </w:tr>
      <w:tr>
        <w:tc>
          <w:tcPr>
            <w:tcW w:type="dxa" w:w="2340"/>
          </w:tcPr>
          <w:p>
            <w:r>
              <w:t>Glucose</w:t>
            </w:r>
          </w:p>
        </w:tc>
        <w:tc>
          <w:tcPr>
            <w:tcW w:type="dxa" w:w="2340"/>
          </w:tcPr>
          <w:p>
            <w:r>
              <w:t>30 seconds</w:t>
            </w:r>
          </w:p>
        </w:tc>
        <w:tc>
          <w:tcPr>
            <w:tcW w:type="dxa" w:w="2340"/>
          </w:tcPr>
          <w:p>
            <w:r>
              <w:t>Negative</w:t>
            </w:r>
          </w:p>
        </w:tc>
        <w:tc>
          <w:tcPr>
            <w:tcW w:type="dxa" w:w="2340"/>
          </w:tcPr>
          <w:p>
            <w:r>
              <w:t>Screens for diabetes mellitus, renal glycosuria</w:t>
            </w:r>
          </w:p>
        </w:tc>
      </w:tr>
      <w:tr>
        <w:tc>
          <w:tcPr>
            <w:tcW w:type="dxa" w:w="2340"/>
          </w:tcPr>
          <w:p>
            <w:r>
              <w:t>Bilirubin</w:t>
            </w:r>
          </w:p>
        </w:tc>
        <w:tc>
          <w:tcPr>
            <w:tcW w:type="dxa" w:w="2340"/>
          </w:tcPr>
          <w:p>
            <w:r>
              <w:t>30 seconds</w:t>
            </w:r>
          </w:p>
        </w:tc>
        <w:tc>
          <w:tcPr>
            <w:tcW w:type="dxa" w:w="2340"/>
          </w:tcPr>
          <w:p>
            <w:r>
              <w:t>Negative</w:t>
            </w:r>
          </w:p>
        </w:tc>
        <w:tc>
          <w:tcPr>
            <w:tcW w:type="dxa" w:w="2340"/>
          </w:tcPr>
          <w:p>
            <w:r>
              <w:t>Liver disease, biliary obstruction</w:t>
            </w:r>
          </w:p>
        </w:tc>
      </w:tr>
      <w:tr>
        <w:tc>
          <w:tcPr>
            <w:tcW w:type="dxa" w:w="2340"/>
          </w:tcPr>
          <w:p>
            <w:r>
              <w:t>Ketone</w:t>
            </w:r>
          </w:p>
        </w:tc>
        <w:tc>
          <w:tcPr>
            <w:tcW w:type="dxa" w:w="2340"/>
          </w:tcPr>
          <w:p>
            <w:r>
              <w:t>40 seconds</w:t>
            </w:r>
          </w:p>
        </w:tc>
        <w:tc>
          <w:tcPr>
            <w:tcW w:type="dxa" w:w="2340"/>
          </w:tcPr>
          <w:p>
            <w:r>
              <w:t>Negative</w:t>
            </w:r>
          </w:p>
        </w:tc>
        <w:tc>
          <w:tcPr>
            <w:tcW w:type="dxa" w:w="2340"/>
          </w:tcPr>
          <w:p>
            <w:r>
              <w:t>Diabetic ketoacidosis, starvation, vomiting</w:t>
            </w:r>
          </w:p>
        </w:tc>
      </w:tr>
      <w:tr>
        <w:tc>
          <w:tcPr>
            <w:tcW w:type="dxa" w:w="2340"/>
          </w:tcPr>
          <w:p>
            <w:r>
              <w:t>Specific Gravity</w:t>
            </w:r>
          </w:p>
        </w:tc>
        <w:tc>
          <w:tcPr>
            <w:tcW w:type="dxa" w:w="2340"/>
          </w:tcPr>
          <w:p>
            <w:r>
              <w:t>45 seconds</w:t>
            </w:r>
          </w:p>
        </w:tc>
        <w:tc>
          <w:tcPr>
            <w:tcW w:type="dxa" w:w="2340"/>
          </w:tcPr>
          <w:p>
            <w:r>
              <w:t>1.003-1.030</w:t>
            </w:r>
          </w:p>
        </w:tc>
        <w:tc>
          <w:tcPr>
            <w:tcW w:type="dxa" w:w="2340"/>
          </w:tcPr>
          <w:p>
            <w:r>
              <w:t>Kidney concentrating ability, hydration status</w:t>
            </w:r>
          </w:p>
        </w:tc>
      </w:tr>
      <w:tr>
        <w:tc>
          <w:tcPr>
            <w:tcW w:type="dxa" w:w="2340"/>
          </w:tcPr>
          <w:p>
            <w:r>
              <w:t>Blood</w:t>
            </w:r>
          </w:p>
        </w:tc>
        <w:tc>
          <w:tcPr>
            <w:tcW w:type="dxa" w:w="2340"/>
          </w:tcPr>
          <w:p>
            <w:r>
              <w:t>60 seconds</w:t>
            </w:r>
          </w:p>
        </w:tc>
        <w:tc>
          <w:tcPr>
            <w:tcW w:type="dxa" w:w="2340"/>
          </w:tcPr>
          <w:p>
            <w:r>
              <w:t>Negative</w:t>
            </w:r>
          </w:p>
        </w:tc>
        <w:tc>
          <w:tcPr>
            <w:tcW w:type="dxa" w:w="2340"/>
          </w:tcPr>
          <w:p>
            <w:r>
              <w:t>Hematuria, hemoglobinuria, myoglobinuria</w:t>
            </w:r>
          </w:p>
        </w:tc>
      </w:tr>
      <w:tr>
        <w:tc>
          <w:tcPr>
            <w:tcW w:type="dxa" w:w="2340"/>
          </w:tcPr>
          <w:p>
            <w:r>
              <w:t>pH</w:t>
            </w:r>
          </w:p>
        </w:tc>
        <w:tc>
          <w:tcPr>
            <w:tcW w:type="dxa" w:w="2340"/>
          </w:tcPr>
          <w:p>
            <w:r>
              <w:t>60 seconds</w:t>
            </w:r>
          </w:p>
        </w:tc>
        <w:tc>
          <w:tcPr>
            <w:tcW w:type="dxa" w:w="2340"/>
          </w:tcPr>
          <w:p>
            <w:r>
              <w:t>4.5-8.0</w:t>
            </w:r>
          </w:p>
        </w:tc>
        <w:tc>
          <w:tcPr>
            <w:tcW w:type="dxa" w:w="2340"/>
          </w:tcPr>
          <w:p>
            <w:r>
              <w:t>Acid-base balance, UTI, renal stones</w:t>
            </w:r>
          </w:p>
        </w:tc>
      </w:tr>
      <w:tr>
        <w:tc>
          <w:tcPr>
            <w:tcW w:type="dxa" w:w="2340"/>
          </w:tcPr>
          <w:p>
            <w:r>
              <w:t>Protein</w:t>
            </w:r>
          </w:p>
        </w:tc>
        <w:tc>
          <w:tcPr>
            <w:tcW w:type="dxa" w:w="2340"/>
          </w:tcPr>
          <w:p>
            <w:r>
              <w:t>60 seconds</w:t>
            </w:r>
          </w:p>
        </w:tc>
        <w:tc>
          <w:tcPr>
            <w:tcW w:type="dxa" w:w="2340"/>
          </w:tcPr>
          <w:p>
            <w:r>
              <w:t>Negative-Trace</w:t>
            </w:r>
          </w:p>
        </w:tc>
        <w:tc>
          <w:tcPr>
            <w:tcW w:type="dxa" w:w="2340"/>
          </w:tcPr>
          <w:p>
            <w:r>
              <w:t>Renal disease, pre-eclampsia, multiple myeloma</w:t>
            </w:r>
          </w:p>
        </w:tc>
      </w:tr>
      <w:tr>
        <w:tc>
          <w:tcPr>
            <w:tcW w:type="dxa" w:w="2340"/>
          </w:tcPr>
          <w:p>
            <w:r>
              <w:t>Urobilinogen</w:t>
            </w:r>
          </w:p>
        </w:tc>
        <w:tc>
          <w:tcPr>
            <w:tcW w:type="dxa" w:w="2340"/>
          </w:tcPr>
          <w:p>
            <w:r>
              <w:t>60 seconds</w:t>
            </w:r>
          </w:p>
        </w:tc>
        <w:tc>
          <w:tcPr>
            <w:tcW w:type="dxa" w:w="2340"/>
          </w:tcPr>
          <w:p>
            <w:r>
              <w:t>0.2-1.0 mg/dL</w:t>
            </w:r>
          </w:p>
        </w:tc>
        <w:tc>
          <w:tcPr>
            <w:tcW w:type="dxa" w:w="2340"/>
          </w:tcPr>
          <w:p>
            <w:r>
              <w:t>Liver disease, hemolytic disorders</w:t>
            </w:r>
          </w:p>
        </w:tc>
      </w:tr>
      <w:tr>
        <w:tc>
          <w:tcPr>
            <w:tcW w:type="dxa" w:w="2340"/>
          </w:tcPr>
          <w:p>
            <w:r>
              <w:t>Nitrite</w:t>
            </w:r>
          </w:p>
        </w:tc>
        <w:tc>
          <w:tcPr>
            <w:tcW w:type="dxa" w:w="2340"/>
          </w:tcPr>
          <w:p>
            <w:r>
              <w:t>60 seconds</w:t>
            </w:r>
          </w:p>
        </w:tc>
        <w:tc>
          <w:tcPr>
            <w:tcW w:type="dxa" w:w="2340"/>
          </w:tcPr>
          <w:p>
            <w:r>
              <w:t>Negative</w:t>
            </w:r>
          </w:p>
        </w:tc>
        <w:tc>
          <w:tcPr>
            <w:tcW w:type="dxa" w:w="2340"/>
          </w:tcPr>
          <w:p>
            <w:r>
              <w:t>Bacterial infection (gram-negative)</w:t>
            </w:r>
          </w:p>
        </w:tc>
      </w:tr>
      <w:tr>
        <w:tc>
          <w:tcPr>
            <w:tcW w:type="dxa" w:w="2340"/>
          </w:tcPr>
          <w:p>
            <w:r>
              <w:t>Leukocytes</w:t>
            </w:r>
          </w:p>
        </w:tc>
        <w:tc>
          <w:tcPr>
            <w:tcW w:type="dxa" w:w="2340"/>
          </w:tcPr>
          <w:p>
            <w:r>
              <w:t>120 seconds</w:t>
            </w:r>
          </w:p>
        </w:tc>
        <w:tc>
          <w:tcPr>
            <w:tcW w:type="dxa" w:w="2340"/>
          </w:tcPr>
          <w:p>
            <w:r>
              <w:t>Negative</w:t>
            </w:r>
          </w:p>
        </w:tc>
        <w:tc>
          <w:tcPr>
            <w:tcW w:type="dxa" w:w="2340"/>
          </w:tcPr>
          <w:p>
            <w:r>
              <w:t>Urinary tract infection, inflammation</w:t>
            </w:r>
          </w:p>
        </w:tc>
      </w:tr>
    </w:tbl>
    <w:p>
      <w:r>
        <w:br w:type="page"/>
      </w:r>
    </w:p>
    <w:p>
      <w:pPr>
        <w:pStyle w:val="Heading1"/>
      </w:pPr>
      <w:r>
        <w:t>Quality Assurance for Reagent Strips</w:t>
      </w:r>
    </w:p>
    <w:p>
      <w:pPr>
        <w:pStyle w:val="Heading2"/>
      </w:pPr>
      <w:r>
        <w:t>Daily Quality Control</w:t>
      </w:r>
    </w:p>
    <w:p>
      <w:r>
        <w:t>1. Control Testing</w:t>
      </w:r>
    </w:p>
    <w:p>
      <w:pPr>
        <w:pStyle w:val="ListBullet2"/>
      </w:pPr>
      <w:r>
        <w:t xml:space="preserve">   • Test both positive and negative controls each day of use</w:t>
      </w:r>
    </w:p>
    <w:p>
      <w:pPr>
        <w:pStyle w:val="ListBullet2"/>
      </w:pPr>
      <w:r>
        <w:t xml:space="preserve">   • Test new lot numbers before placing in use</w:t>
      </w:r>
    </w:p>
    <w:p>
      <w:pPr>
        <w:pStyle w:val="ListBullet2"/>
      </w:pPr>
      <w:r>
        <w:t xml:space="preserve">   • Document all control results in QC log</w:t>
      </w:r>
    </w:p>
    <w:p>
      <w:pPr>
        <w:pStyle w:val="ListBullet2"/>
      </w:pPr>
      <w:r>
        <w:t xml:space="preserve">   • Controls must be within acceptable ranges before patient testing</w:t>
      </w:r>
    </w:p>
    <w:p>
      <w:r>
        <w:t>2. Visual Inspection</w:t>
      </w:r>
    </w:p>
    <w:p>
      <w:pPr>
        <w:pStyle w:val="ListBullet2"/>
      </w:pPr>
      <w:r>
        <w:t xml:space="preserve">   • Check for discoloration of pads</w:t>
      </w:r>
    </w:p>
    <w:p>
      <w:pPr>
        <w:pStyle w:val="ListBullet2"/>
      </w:pPr>
      <w:r>
        <w:t xml:space="preserve">   • Ensure pads are firmly attached</w:t>
      </w:r>
    </w:p>
    <w:p>
      <w:pPr>
        <w:pStyle w:val="ListBullet2"/>
      </w:pPr>
      <w:r>
        <w:t xml:space="preserve">   • Verify expiration date</w:t>
      </w:r>
    </w:p>
    <w:p>
      <w:pPr>
        <w:pStyle w:val="ListBullet2"/>
      </w:pPr>
      <w:r>
        <w:t xml:space="preserve">   • Note any unusual odor upon opening container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