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Доказ інваріанта (PoI): топологічні гаранти, відстеження еквівокації</w:t>
        <w:br/>
        <w:t>та детермінована збіжність для причинно-наслідкових реєстрів на DAG</w:t>
      </w:r>
    </w:p>
    <w:p>
      <w:pPr>
        <w:jc w:val="center"/>
      </w:pPr>
      <w:r>
        <w:rPr>
          <w:i/>
        </w:rPr>
        <w:t>Oleksandr A. Shvets</w:t>
        <w:br/>
        <w:t>Ugoda Protocol Core Research</w:t>
        <w:br/>
        <w:t>Чернетка від 18 жовтня 2026 року</w:t>
      </w:r>
    </w:p>
    <w:p>
      <w:pPr>
        <w:pStyle w:val="Heading1"/>
      </w:pPr>
      <w:r>
        <w:t>Анотація</w:t>
      </w:r>
    </w:p>
    <w:p>
      <w:r>
        <w:t>Розподілені реєстри на основі орієнтованих ациклічних графів (причинно-наслідкових DAG) забезпечують високу пропускну здатність паралельної обробки транзакцій, однак мають структурні вразливості, зокрема подвійне витрачання через розходження гілок, еквівокацію валідаторів і маніпулювання порядком з боку пропонента. У цій роботі розглядається Proof of Invariant (PoI) — система перевірки, що відокремлює топологічну допустимість графа від виконання стану. Показано, що спрямовані цикли унеможливлюються посиланнями на батьківські вузли, адресованими за вмістом, і перевіреним індуктивним зростанням номера раунду та висоти за умови стійкості хеш-функції до відновлення прообразу. Запропоновано точний O(1)-механізм захисту від еквівокації, індексований послідовністю, із видаленням зафіксованих голів ланцюгів. Крім того, визначено детерміновану модель виконання стану S = Execute(Canonicalize(D), S₀), захищену від маніпулювання хешуванням з боку пропонента за допомогою соління майбутнім маяком випадковості, індексованим раундом; також встановлено умовну фінальність на основі сертифікатів контрольних точок із підписами кворуму, які посилаються на зафіксовані якорі.</w:t>
      </w:r>
    </w:p>
    <w:p>
      <w:pPr>
        <w:pStyle w:val="Heading1"/>
      </w:pPr>
      <w:r>
        <w:t>1. Вступ і постановка проблеми</w:t>
      </w:r>
    </w:p>
    <w:p>
      <w:r>
        <w:t>Причинно-наслідкові реєстри на DAG дають змогу транзакціям одночасно посилатися на кілька попередніх голів, утворюючи структури злиття (наприклад, ромбоподібну топологію A → B, A → C, B → D, C → D). Однак наївні підходи до перевірки DAG і побудови консенсусу стикаються з низкою системних проблем:</w:t>
      </w:r>
    </w:p>
    <w:p>
      <w:pPr>
        <w:pStyle w:val="ListBullet"/>
      </w:pPr>
      <w:r>
        <w:t>Відстеження еквівокації. Наївні евристики графа не виявляють підписання валідатором кількох гілок, якщо механізм відстеження не забезпечує суворої перевірки послідовності та відповідальності за self-parent.</w:t>
      </w:r>
    </w:p>
    <w:p>
      <w:pPr>
        <w:pStyle w:val="ListBullet"/>
      </w:pPr>
      <w:r>
        <w:t>Маніпулювання хешуванням пропонента та порядком. Лексикографічне сортування ідентифікаторів транзакцій без соління дає пропонентам змогу підбирати хеші заради пріоритету в порядку виконання.</w:t>
      </w:r>
    </w:p>
    <w:p>
      <w:pPr>
        <w:pStyle w:val="ListBullet"/>
      </w:pPr>
      <w:r>
        <w:t>Реорганізація та стабільність префікса. Необмежена причинно-наслідкова історія дозволяє пізнім дельтам спричиняти реорганізації, якщо механізми фінальності не заморожують історичні префікси виконання.</w:t>
      </w:r>
    </w:p>
    <w:p>
      <w:pPr>
        <w:pStyle w:val="ListBullet"/>
      </w:pPr>
      <w:r>
        <w:t>Розбіжність виконання стану. Асинхронна доставка повідомлень вимагає суворого, глобально однакового правила лінійного впорядкування, щоб усі вузли ідентично виконували конкурентні переходи стану.</w:t>
      </w:r>
    </w:p>
    <w:p>
      <w:r>
        <w:t>Proof of Invariant (PoI) усуває ці вразливості за допомогою п’яти архітектурних компонентів:</w:t>
      </w:r>
    </w:p>
    <w:p>
      <w:pPr>
        <w:pStyle w:val="ListBullet"/>
      </w:pPr>
      <w:r>
        <w:t>Індуктивна топологічна безпека. Посилання на батьківські вузли, адресовані за вмістом, разом із перевіреними правилами self-chain і зростанням номера раунду та висоти гарантують ациклічність структури.</w:t>
      </w:r>
    </w:p>
    <w:p>
      <w:pPr>
        <w:pStyle w:val="ListBullet"/>
      </w:pPr>
      <w:r>
        <w:t>Відстеження еквівокації за послідовністю. Індекс у пам’яті O(1), ключами якого є ідентичність валідатора та номер послідовності, виявляє подвійне підписання; механізм доповнюється видаленням записів за зафіксованими головами.</w:t>
      </w:r>
    </w:p>
    <w:p>
      <w:pPr>
        <w:pStyle w:val="ListBullet"/>
      </w:pPr>
      <w:r>
        <w:t>Сегменти на основі якорів і соління майбутнім маяком. Фіксація якорів за раундами та майбутні маяки для кожного раунду зменшують можливості підбору хешів і забезпечують однакове лінійне виконання на всіх вузлах.</w:t>
      </w:r>
    </w:p>
    <w:p>
      <w:pPr>
        <w:pStyle w:val="ListBullet"/>
      </w:pPr>
      <w:r>
        <w:t>Детерміноване розв’язання конфліктів. Подвійне витрачання серіалізується через канонічний порядок сегментів; пізніші конфліктні транзакції явно відкочуються (STATUS REVERTED).</w:t>
      </w:r>
    </w:p>
    <w:p>
      <w:pPr>
        <w:pStyle w:val="ListBullet"/>
      </w:pPr>
      <w:r>
        <w:t>Умовна фінальність і контрольні точки за зафіксованими якорями. Контрольні точки, підписані кворумом, фіксують детерміновані стани якорів і заморожують історичні префікси виконання.</w:t>
      </w:r>
    </w:p>
    <w:p>
      <w:pPr>
        <w:pStyle w:val="Heading1"/>
      </w:pPr>
      <w:r>
        <w:t>2. Модель системи, формат дельти та структурні інваріанти</w:t>
      </w:r>
    </w:p>
    <w:p>
      <w:r>
        <w:t>Визначення 1 (Причинно-наслідкова дельта й адресація за вмістом). Нехай історія реєстру є орієнтованим ациклічним графом G = (V, E). Дельта d ∈ V — це кортеж:</w:t>
      </w:r>
    </w:p>
    <w:p>
      <w:pPr>
        <w:pStyle w:val="Quote"/>
      </w:pPr>
      <w:r>
        <w:t>d = ⟨ChainID, r, h, P(d), seq, payload, σₖ⟩</w:t>
      </w:r>
    </w:p>
    <w:p>
      <w:r>
        <w:t>де r — перевірений номер раунду, h — причинно-наслідкова висота, P(d) ⊂ V — множина ідентифікаторів батьківських вузлів, seq — монотонний номер послідовності для кожного валідатора, а DeltaID(d) = H(d) — криптографічний хеш вмісту d зі стійкістю до колізій.</w:t>
      </w:r>
    </w:p>
    <w:p>
      <w:r>
        <w:t>Правила перевірки дельти. Вузли самостійно перераховують і перевіряють усі структурні поля, а не довіряють метаданим, наданим її творцем.</w:t>
      </w:r>
    </w:p>
    <w:p>
      <w:pPr>
        <w:pStyle w:val="ListBullet"/>
      </w:pPr>
      <w:r>
        <w:t>Правило self-chain. P(d) містить рівно одного self-parent s(d) — попередню дельту підписанта; seq(d) = seq(s(d)) + 1 і r(d) &gt; r(s(d)). Отже, кожен валідатор створює не більш як одну дельту за раунд і підтримує лінійний ланцюг, який можна перевірити.</w:t>
      </w:r>
    </w:p>
    <w:p>
      <w:pPr>
        <w:pStyle w:val="ListBullet"/>
      </w:pPr>
      <w:r>
        <w:t>Правило раунду. r(d) = 1 + maxₚ∈P(d) r(p), а P(d) містить дельти щонайменше Q різних підписантів у раунді r(d) − 1. Після очікування тайм-ауту τ чесний валідатор посилається на кожну наявну в нього дельту раунду r − 1, замкнену щодо батьківських вузлів.</w:t>
      </w:r>
    </w:p>
    <w:p>
      <w:pPr>
        <w:pStyle w:val="ListBullet"/>
      </w:pPr>
      <w:r>
        <w:t>Правило висоти. h(d) = 1 + maxₚ∈P(d) h(p).</w:t>
      </w:r>
    </w:p>
    <w:p>
      <w:pPr>
        <w:pStyle w:val="ListBullet"/>
      </w:pPr>
      <w:r>
        <w:t>Межа кворуму. Незважений поріг кворуму: Q = ⌈(N + f + 1) / 2⌉, звідки 2Q − N ≥ f + 1. Для N = 3f + 1 маємо Q = 2f + 1.</w:t>
      </w:r>
    </w:p>
    <w:p>
      <w:r>
        <w:t>Лема 1 (Індуктивна ациклічність через перевірене замикання батьківських вузлів і self-chain). Якщо кожна прийнята дельта d задовольняє перевірене замикання батьківських вузлів (∀p ∈ P(d), p ∈ V_committed) і перевірене зростання номера раунду та висоти, то G = (V, E) є ациклічним.</w:t>
      </w:r>
    </w:p>
    <w:p>
      <w:r>
        <w:t>Доведення. Індукцією за порядком фіксації. Генезисний якір не має батьків і є базовим випадком (r = 0, h = 0). Наступна дельта d включається лише після фіксації всіх p ∈ P(d). Оскільки r(d) &gt; r(p) і h(d) &gt; h(p) для кожного батьківського вузла, порядок фіксації є строгим топологічним порядком. Спрямований цикл dₖ → ··· → d₀ → dₖ вимагав би, щоб dₖ було зафіксовано раніше за самого себе, що неможливо за індуктивного порядку фіксації та стійкості хешів, адресованих за вмістом, до відновлення прообразу.</w:t>
      </w:r>
    </w:p>
    <w:p>
      <w:pPr>
        <w:pStyle w:val="Heading1"/>
      </w:pPr>
      <w:r>
        <w:t>3. Захист від еквівокації на основі послідовності та очищення індексу</w:t>
      </w:r>
    </w:p>
    <w:p>
      <w:r>
        <w:t>Структури зв’язності графа, як-от Disjoint Set Union, не здатні виявляти еквівокацію валідатора, оскільки паралельні дельти в коректному DAG належать до тієї самої слабко зв’язаної компоненти. Натомість використовується точний відстежувач, індексований послідовністю.</w:t>
      </w:r>
    </w:p>
    <w:p>
      <w:r>
        <w:t>Визначення 2 (Еквівокація валідатора). Валідатор vᵢ вчинив еквівокацію, якщо існують дві різні дельти dₐ, dᵦ, підписані vᵢ, для яких Signer(dₐ) = Signer(dᵦ) = vᵢ, seq(dₐ) = seq(dᵦ), але DeltaID(dₐ) ≠ DeltaID(dᵦ).</w:t>
      </w:r>
    </w:p>
    <w:p>
      <w:r>
        <w:t>Вузли підтримують індекс у пам’яті I : (ValidatorID, seq) → DeltaID. Коли надходить коректна дельта, вузол перевіряє перераховані поля та запис I(vᵢ, seq). Якщо запис порожній, у нього вноситься DeltaID(d). Якщо там уже є інший ідентифікатор, вузол зберігає обидві підписані дельти як криптографічний доказ еквівокації та ініціює виключення валідатора з його ролі.</w:t>
      </w:r>
    </w:p>
    <w:p>
      <w:pPr>
        <w:pStyle w:val="Heading2"/>
      </w:pPr>
      <w:r>
        <w:t>Очищення за зафіксованою головою ланцюга</w:t>
      </w:r>
    </w:p>
    <w:p>
      <w:r>
        <w:t>Щоб обмежити використання пам’яті, вузли зберігають лише зафіксовану голову (seq꜀, DeltaID꜀) кожного валідатора на останній контрольній точці. Будь-яка пізніша дельта з seq ≤ seq꜀, яка не належить до зафіксованої історії, сама є доказом еквівокації. Тому старі записи індексу можна видаляти без втрати здатності виявляти порушення.</w:t>
      </w:r>
    </w:p>
    <w:p>
      <w:pPr>
        <w:pStyle w:val="Heading1"/>
      </w:pPr>
      <w:r>
        <w:t>4. Раунди, якорі, сегменти та соління майбутнім маяком</w:t>
      </w:r>
    </w:p>
    <w:p>
      <w:pPr>
        <w:pStyle w:val="Heading2"/>
      </w:pPr>
      <w:r>
        <w:t>4.1. Слоти та кандидати в якорі</w:t>
      </w:r>
    </w:p>
    <w:p>
      <w:r>
        <w:t>Кандидат у якір раунду r визначається як slot(r) = r mod N. Оскільки раунд не може існувати, доки Q валідаторів не досягнуть попереднього раунду, пропонент не може довільно вибирати r: його обмежує перевірений поступ його ланцюга.</w:t>
      </w:r>
    </w:p>
    <w:p>
      <w:pPr>
        <w:pStyle w:val="Heading2"/>
      </w:pPr>
      <w:r>
        <w:t>4.2. Фіксація якоря та похідний статус пропуску</w:t>
      </w:r>
    </w:p>
    <w:p>
      <w:r>
        <w:t>Якір Aᵣ безпосередньо фіксується, якщо щонайменше f + 1 дельт раунду r + 1 у представленні вузла посилаються на нього. Якір раунду вважається пропущеним, якщо його не зафіксовано безпосередньо й він не входить до причинно-наслідкової історії пізнішого зафіксованого якоря. Статус є чистою функцією представлення DAG, тому окремі повідомлення про пропуск не потрібні.</w:t>
      </w:r>
    </w:p>
    <w:p>
      <w:r>
        <w:t>Припущення 1 (Доставка без еквівокації, A1). Кожен чесний вузол приймає не більш як одну дельту на пару (підписант, раунд), наприклад завдяки рівню узгодженої широкомовної доставки. Другу дельту з тією самою парою (підписант, раунд) зберігають лише як доказ еквівокації. Без A1 поріг прямої фіксації слід підвищити з f + 1 до Q.</w:t>
      </w:r>
    </w:p>
    <w:p>
      <w:r>
        <w:t>Лема 2 (Узгодженість якоря). Нехай N = 3f + 1 і виконується A1. Якщо Aᵣ безпосередньо зафіксовано на будь-якому чесному вузлі, то кожна дельта раунду r + 2, прийнята будь-яким чесним вузлом, містить Aᵣ у своїй причинно-наслідковій історії.</w:t>
      </w:r>
    </w:p>
    <w:p>
      <w:r>
        <w:t>Доведення. Нехай S — множина щонайменше f + 1 підписантів, чиї дельти раунду r + 1 посилаються на Aᵣ. Дельта d′ раунду r + 2 посилається на дельти раунду r + 1 від множини T щонайменше Q = 2f + 1 різних підписантів. Тоді |S ∩ T| ≥ (f + 1) + (2f + 1) − (3f + 1) = 1. Візьмімо s ∈ S ∩ T. За A1 існує лише одна прийнята дельта s раунду r + 1, тож дельта, на яку посилається d′, — саме та, що посилається на Aᵣ. Отже, Aᵣ ∈ Hist(d′).</w:t>
      </w:r>
    </w:p>
    <w:p>
      <w:r>
        <w:t>Наслідок 1. Кожна дельта раунду r′ ≥ r + 2 містить Aᵣ у своїй причинно-наслідковій історії (за індукцією за r′). Тому кожен зафіксований якір раунду не нижче r + 2 містить Aᵣ, а статус пропуску Aᵣ однаковий на всіх чесних вузлах.</w:t>
      </w:r>
    </w:p>
    <w:p>
      <w:pPr>
        <w:pStyle w:val="Heading2"/>
      </w:pPr>
      <w:r>
        <w:t>4.3. Сегменти, канонічний порядок і соління майбутнім маяком</w:t>
      </w:r>
    </w:p>
    <w:p>
      <w:r>
        <w:t>Зафіксовані якорі A_R1, A_R2, … визначають сегменти виконання:</w:t>
      </w:r>
    </w:p>
    <w:p>
      <w:pPr>
        <w:pStyle w:val="Quote"/>
      </w:pPr>
      <w:r>
        <w:t>Segᵢ = Hist(A_Rᵢ) \ ⋃ⱼ&lt;ᵢ Hist(A_Rⱼ)</w:t>
      </w:r>
    </w:p>
    <w:p>
      <w:r>
        <w:t>Щоб не дозволити пропонентам підбирати nonce або доповнення payload для маніпулювання розв’язанням рівностей, ключ сортування доповнюється майбутнім маяком випадковості Bᵣ — пороговим підписом над (epoch, r), який публікується лише після закриття вікна включення. Ключ сортування дельти d у сегменті Segᵢ:</w:t>
      </w:r>
    </w:p>
    <w:p>
      <w:pPr>
        <w:pStyle w:val="Quote"/>
      </w:pPr>
      <w:r>
        <w:t>SortKey(d) = (r(d), h(d), H(d ∥ Bᵣ(d)))</w:t>
      </w:r>
    </w:p>
    <w:p>
      <w:r>
        <w:t>Номери раундів не зменшуються, а висоти строго зростають уздовж коректних ребер, тому цей порядок є допустимим топологічним порядком. Сегменти виконуються послідовно, отже пізні дельти не можуть перевпорядкувати фіналізовані префікси.</w:t>
      </w:r>
    </w:p>
    <w:p>
      <w:pPr>
        <w:pStyle w:val="Heading2"/>
      </w:pPr>
      <w:r>
        <w:t>4.4. Час публікації маяка та вікно включення</w:t>
      </w:r>
    </w:p>
    <w:p>
      <w:r>
        <w:t>Нехай W — вікно включення протоколу. Дельта раунду r має право на включення, лише якщо вона лежить у причинно-наслідковій історії зафіксованого якоря раунду R′ ≤ r + W; інакше вона є недійсною й має бути подана повторно. Маяк Bᵣ публікується лише після визначення статусу кожного якоря до раунду r + W. Отже, виконання раунду r стає незмінним лише після того, як маяк відомий; затримка обмежена W раундами плюс часом розв’язання статусу якорів.</w:t>
      </w:r>
    </w:p>
    <w:p>
      <w:r>
        <w:t>Обмеження параметрів (рекомендовані, але не доведені). τ має бути не меншим за межу затримки мережі після GST, ∆, щоб чесна дельта досягла всіх чесних валідаторів до закриття ними раунду. W бажано встановити щонайменше на f + 3 раунди: чесна дельта раунду r згадується кожною чесною дельтою раунду r + 1, а ротація слотів допускає не більш як f послідовних візантійських кандидатів у якорі до того, як настає черга чесного. Доведення цієї межі залишається відкритим завданням.</w:t>
      </w:r>
    </w:p>
    <w:p>
      <w:pPr>
        <w:pStyle w:val="Heading2"/>
      </w:pPr>
      <w:r>
        <w:t>4.5. Розв’язання подвійного витрачання та семантика стану</w:t>
      </w:r>
    </w:p>
    <w:p>
      <w:r>
        <w:t>Конфліктні транзакції, що змінюють ті самі ключі стану, серіалізуються відповідно до канонічного порядку сегмента. Перша транзакція в канонічному порядку виконується успішно (STATUS SUCCESS). Кожна наступна конфліктна транзакція бачить оновлені передумови стану й завершується зі статусом STATUS REVERTED (операція без змін стану). Це забезпечує детерміноване відхилення без скасування консенсусу DAG.</w:t>
      </w:r>
    </w:p>
    <w:p>
      <w:pPr>
        <w:pStyle w:val="Heading1"/>
      </w:pPr>
      <w:r>
        <w:t>5. Контрольні точки, включення та відновлення</w:t>
      </w:r>
    </w:p>
    <w:p>
      <w:pPr>
        <w:pStyle w:val="Heading2"/>
      </w:pPr>
      <w:r>
        <w:t>5.1. Перетин кворумів і сертифікати контрольних точок</w:t>
      </w:r>
    </w:p>
    <w:p>
      <w:r>
        <w:t>За Q = ⌈(N + f + 1)/2⌉ будь-які два коректні кворуми перетинаються щонайменше за f + 1 валідаторами, а отже, щонайменше за одним чесним валідатором. Сертифікат контрольної точки має вигляд:</w:t>
      </w:r>
    </w:p>
    <w:p>
      <w:pPr>
        <w:pStyle w:val="Quote"/>
      </w:pPr>
      <w:r>
        <w:t>CC(R) = ⟨A_R, StateRoot_R, σ≥Q⟩</w:t>
      </w:r>
    </w:p>
    <w:p>
      <w:r>
        <w:t>Валідатор підписує CC(R), лише якщо A_R безпосередньо зафіксовано в його представленні, а StateRoot_R відповідає локальному виконанню до раунду R включно. Оскільки A_R через хеш-посилання фіксує всю свою історію, окремий корінь фронтиру не потрібен.</w:t>
      </w:r>
    </w:p>
    <w:p>
      <w:pPr>
        <w:pStyle w:val="Heading2"/>
      </w:pPr>
      <w:r>
        <w:t>5.2. Включення та стійкість до цензури</w:t>
      </w:r>
    </w:p>
    <w:p>
      <w:r>
        <w:t>Чесна дельта, поширена після GST, досягає всіх чесних валідаторів у межах мережевої затримки τ. Тоді кожна чесна дельта раунду r + 1 посилається на неї, забезпечуючи щонайменше N − f ≥ f + 1 посилань. Дельта входить до причинно-наслідкової історії наступного зафіксованого якоря в межах вікна W. Дельти, які не відповідають критеріям включення, вважаються недійсними, а не втраченими; їхні payload можна подати повторно.</w:t>
      </w:r>
    </w:p>
    <w:p>
      <w:pPr>
        <w:pStyle w:val="Heading2"/>
      </w:pPr>
      <w:r>
        <w:t>5.3. Живучість за часткової синхронності</w:t>
      </w:r>
    </w:p>
    <w:p>
      <w:r>
        <w:t>За часткової синхронності, коли онлайн перебуває щонайменше Q чесних валідаторів, раунди просуваються лише завдяки правилу раунду та похідним фіксаціям якорів. Слот офлайнового власника пропускається на основі DAG без суб’єктивних голосувань щодо тайм-ауту.</w:t>
      </w:r>
    </w:p>
    <w:p>
      <w:pPr>
        <w:pStyle w:val="Heading2"/>
      </w:pPr>
      <w:r>
        <w:t>5.4. Припущення щодо довіри під час відновлення</w:t>
      </w:r>
    </w:p>
    <w:p>
      <w:r>
        <w:t>Якщо виявлено конфліктні коректні сертифікати контрольних точок, вузли зберігають обидва й переходять у стан StateHalt. Для розв’язання потрібна позасмугова транзакція відновлення, підписана заздалегідь визначеним набором відновлення R (зафіксованим у genesis із порогом t_R для M ключів). Цей набір є явним припущенням довіри поза межами моделі f візантійських учасників.</w:t>
      </w:r>
    </w:p>
    <w:p>
      <w:pPr>
        <w:pStyle w:val="Heading2"/>
      </w:pPr>
      <w:r>
        <w:t>5.5. Збіжність</w:t>
      </w:r>
    </w:p>
    <w:p>
      <w:r>
        <w:t>Теорема 1 (Детермінована збіжність). Нехай два чесні вузли мають однакову послідовність зафіксованих якорів A_R1, …, A_Rk, однакові маяки Bᵣ для всіх r ≤ Rk та однаковий початковий стан S₀. Тоді вони отримують однакові сегменти, однаковий канонічний порядок D_sorted та однакові корені стану.</w:t>
      </w:r>
    </w:p>
    <w:p>
      <w:r>
        <w:t>Ескіз доведення. Кожна Hist(A_Rᵢ) визначається хеш-посиланнями, отже сегменти Segᵢ є однаковими множинами на обох вузлах. SortKey залежить лише від r(d), h(d), H(d) та Bᵣ(d), які визначені однозначно. Виконання є детермінованою функцією впорядкованої послідовності й S₀ за умови дотримання вимог детермінізму Wasm.</w:t>
      </w:r>
    </w:p>
    <w:p>
      <w:r>
        <w:t>Узгодження послідовності зафіксованих якорів випливає з леми 2 разом із перетином кворумів сертифікатів контрольних точок. Повне доведення цього узгодження, а також того, що всі чесні вузли зрештою отримають однакові дельти, залишається відкритим.</w:t>
      </w:r>
    </w:p>
    <w:p>
      <w:pPr>
        <w:pStyle w:val="Heading1"/>
      </w:pPr>
      <w:r>
        <w:t>6. Пов’язані роботи</w:t>
      </w:r>
    </w:p>
    <w:p>
      <w:r>
        <w:t>Архітектура DAG із раундами та якорями має спільні структурні основи з високопродуктивними протоколами DAG-консенсусу, такими як Narwhal і Bullshark [1, 2], а також DAG-Rider [3], які відокремлюють поширення даних від лінійного впорядкування. На відміну від суто консенсусних рушіїв, ця робота інтегрує:</w:t>
      </w:r>
    </w:p>
    <w:p>
      <w:pPr>
        <w:pStyle w:val="ListBullet"/>
      </w:pPr>
      <w:r>
        <w:t>Proof of Invariant (PoI): інкрементальні механізми захисту від еквівокації на основі послідовностей і індуктивну структурну перевірку.</w:t>
      </w:r>
    </w:p>
    <w:p>
      <w:pPr>
        <w:pStyle w:val="ListBullet"/>
      </w:pPr>
      <w:r>
        <w:t>Формулювання для нормативної відповідності: перевірені на рівні ребер пред’явлення EUDI/eIDAS 2.0 (SD-JWT) і Diia.Signature, зіставлені з payload виконання транзакцій.</w:t>
      </w:r>
    </w:p>
    <w:p>
      <w:pPr>
        <w:pStyle w:val="ListBullet"/>
      </w:pPr>
      <w:r>
        <w:t>Детерміноване виконання Wasm: переходи стану в ізольованому середовищі, керовані суворими правилами канонізації та солінням майбутнім маяком для протидії підбору хешів.</w:t>
      </w:r>
    </w:p>
    <w:p>
      <w:r>
        <w:t>Структура раундів, правило фіксації якоря та аргумент про перетин кворумів продовжують лінію робіт Narwhal/Bullshark і DAG-Rider. Новими елементами є захист від еквівокації з індексацією за послідовністю кожного валідатора та очищенням зафіксованої голови, похідний статус пропуску без голосування, вікно включення й схема майбутнього маяка для кожного раунду проти маніпулювання порядком, а також використання зафіксованих якорів як цілей контрольних точок. На відміну від цих протоколів, цей дизайн не припускає надійної широкомовної доставки, тому в лемі 2 доставка без еквівокації (A1) сформульована як явне припущення.</w:t>
      </w:r>
    </w:p>
    <w:p>
      <w:pPr>
        <w:pStyle w:val="Heading1"/>
      </w:pPr>
      <w:r>
        <w:t>7. Висновок та обмеження</w:t>
      </w:r>
    </w:p>
    <w:p>
      <w:r>
        <w:t>Поєднуючи відстеження еквівокації на основі послідовностей, соління майбутнім маяком для протидії підбору хешів, детерміноване виконання конфліктів і сертифікати контрольних точок на основі зафіксованих якорів, Proof of Invariant (PoI) створює архітектурну основу для причинно-наслідкових реєстрів на DAG з eventual consistency — узгодженістю, що зрештою досягається.</w:t>
      </w:r>
    </w:p>
    <w:p>
      <w:r>
        <w:t>Обмеження. Протокол забезпечує умовну фінальність, обмежену інтервалами між контрольними точками. Він залежить від доступності майбутніх маяків із пороговими підписами та позасмугових підписантів відновлення для адміністративного усунення несправностей. Лема 2 спирається на припущення A1; межі W і τ ще не доведені; реалізацію або оцінювання протоколу не наведено.</w:t>
      </w:r>
    </w:p>
    <w:p>
      <w:pPr>
        <w:pStyle w:val="Heading1"/>
      </w:pPr>
      <w:r>
        <w:t>Література</w:t>
      </w:r>
    </w:p>
    <w:p>
      <w:r>
        <w:t>[1] G. Danezis, L. Kokoris-Kogias, A. Sonnino, A. Spiegelman. Narwhal and Tusk: A DAG-based Mempool and Efficient BFT Consensus. EuroSys, 2022.</w:t>
      </w:r>
    </w:p>
    <w:p>
      <w:r>
        <w:t>[2] A. Spiegelman, N. Giridharan, A. Sonnino, L. Kokoris-Kogias. Bullshark: DAG BFT Protocols Made Practical. ACM CCS, 2022.</w:t>
      </w:r>
    </w:p>
    <w:p>
      <w:r>
        <w:t>[3] I. Keidar, E. Kokoris-Kogias, O. Naor, A. Spiegelman. All You Need is DAG. ACM PODC, 2021.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