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CONTRAT DE SERVICES — PROJET PILOTE DE DÉCOUVERTE IA</w:t>
      </w:r>
    </w:p>
    <w:p>
      <w:pPr>
        <w:spacing w:after="280"/>
        <w:jc w:val="center"/>
      </w:pPr>
      <w:r>
        <w:rPr>
          <w:i/>
          <w:iCs/>
          <w:color w:val="666666"/>
          <w:sz w:val="20"/>
          <w:szCs w:val="20"/>
        </w:rPr>
        <w:t xml:space="preserve">Ébauche pour révision — ne constitue pas un avis juridique</w:t>
      </w:r>
    </w:p>
    <w:p>
      <w:pPr>
        <w:pStyle w:val="Heading1"/>
        <w:spacing w:after="120" w:before="240"/>
      </w:pPr>
      <w:r>
        <w:rPr>
          <w:b/>
          <w:bCs/>
          <w:color w:val="1a1a1a"/>
          <w:sz w:val="24"/>
          <w:szCs w:val="24"/>
        </w:rPr>
        <w:t xml:space="preserve">1. Parties</w:t>
      </w:r>
    </w:p>
    <w:p>
      <w:pPr>
        <w:spacing w:after="40"/>
      </w:pPr>
      <w:r>
        <w:rPr>
          <w:b/>
          <w:bCs/>
          <w:sz w:val="22"/>
          <w:szCs w:val="22"/>
        </w:rPr>
        <w:t xml:space="preserve">Le prestataire :</w:t>
      </w:r>
    </w:p>
    <w:p>
      <w:pPr>
        <w:spacing w:after="40"/>
      </w:pPr>
      <w:r>
        <w:rPr>
          <w:sz w:val="22"/>
          <w:szCs w:val="22"/>
        </w:rPr>
        <w:t xml:space="preserve">Ugo de Montigny, faisant affaires sous le nom « IA avec Ugo », travailleur autonome (entreprise individuelle)</w:t>
      </w:r>
    </w:p>
    <w:p>
      <w:pPr>
        <w:spacing w:after="40"/>
      </w:pPr>
      <w:r>
        <w:rPr>
          <w:sz w:val="22"/>
          <w:szCs w:val="22"/>
        </w:rPr>
        <w:t xml:space="preserve">2660, av. Wilbrod, Québec (Québec) G1E 3P5</w:t>
      </w:r>
    </w:p>
    <w:p>
      <w:pPr>
        <w:spacing w:after="40"/>
      </w:pPr>
      <w:r>
        <w:rPr>
          <w:sz w:val="22"/>
          <w:szCs w:val="22"/>
        </w:rPr>
        <w:t xml:space="preserve">Courriel : iaavecugo@gmail.com · Tél. : 1 581 993-8763</w:t>
      </w:r>
    </w:p>
    <w:p>
      <w:pPr>
        <w:spacing w:after="160"/>
      </w:pPr>
      <w:r>
        <w:rPr>
          <w:sz w:val="22"/>
          <w:szCs w:val="22"/>
        </w:rPr>
        <w:t xml:space="preserve">NEQ : 2282347915</w:t>
      </w:r>
    </w:p>
    <w:p>
      <w:pPr>
        <w:spacing w:after="40"/>
      </w:pPr>
      <w:r>
        <w:rPr>
          <w:b/>
          <w:bCs/>
          <w:sz w:val="22"/>
          <w:szCs w:val="22"/>
        </w:rPr>
        <w:t xml:space="preserve">Le client :</w:t>
      </w:r>
    </w:p>
    <w:p>
      <w:pPr>
        <w:spacing w:after="40"/>
      </w:pPr>
      <w:r>
        <w:rPr>
          <w:sz w:val="22"/>
          <w:szCs w:val="22"/>
        </w:rPr>
        <w:t xml:space="preserve">Létourneau Boutin — Comptabilité &amp; Fiscalité</w:t>
      </w:r>
    </w:p>
    <w:p>
      <w:pPr>
        <w:spacing w:after="40"/>
      </w:pPr>
      <w:r>
        <w:rPr>
          <w:sz w:val="22"/>
          <w:szCs w:val="22"/>
        </w:rPr>
        <w:t xml:space="preserve">1250, boulevard Bona-Dussault, St-Marc-des-Carrières (Québec) G0A 4B0</w:t>
      </w:r>
    </w:p>
    <w:p>
      <w:pPr>
        <w:spacing w:after="120"/>
      </w:pPr>
      <w:r>
        <w:rPr>
          <w:sz w:val="22"/>
          <w:szCs w:val="22"/>
        </w:rPr>
        <w:t xml:space="preserve">Représenté par : Jennifer Boutin (coordination) — jboutin@letourneauboutin.com, (418) 268-3940</w:t>
      </w:r>
    </w:p>
    <w:p>
      <w:pPr>
        <w:pStyle w:val="Heading1"/>
        <w:spacing w:after="120" w:before="240"/>
      </w:pPr>
      <w:r>
        <w:rPr>
          <w:b/>
          <w:bCs/>
          <w:color w:val="1a1a1a"/>
          <w:sz w:val="24"/>
          <w:szCs w:val="24"/>
        </w:rPr>
        <w:t xml:space="preserve">2. Objet du contrat</w:t>
      </w:r>
    </w:p>
    <w:p>
      <w:pPr>
        <w:spacing w:after="120"/>
      </w:pPr>
      <w:r>
        <w:rPr>
          <w:sz w:val="22"/>
          <w:szCs w:val="22"/>
        </w:rPr>
        <w:t xml:space="preserve">Le prestataire réalise pour le client un projet pilote de démarche de découverte IA, tel que décrit dans la proposition du 20 juillet 2026 acceptée par courriel. Le pilote comprend les six étapes suivantes :</w:t>
      </w:r>
    </w:p>
    <w:p>
      <w:pPr>
        <w:pStyle w:val="ListParagraph"/>
        <w:numPr>
          <w:ilvl w:val="0"/>
          <w:numId w:val="2"/>
        </w:numPr>
        <w:spacing w:after="40"/>
      </w:pPr>
      <w:r>
        <w:rPr>
          <w:sz w:val="22"/>
          <w:szCs w:val="22"/>
        </w:rPr>
        <w:t xml:space="preserve">Questionnaire de découverte remis à l’équipe (4 personnes);</w:t>
      </w:r>
    </w:p>
    <w:p>
      <w:pPr>
        <w:pStyle w:val="ListParagraph"/>
        <w:numPr>
          <w:ilvl w:val="0"/>
          <w:numId w:val="2"/>
        </w:numPr>
        <w:spacing w:after="40"/>
      </w:pPr>
      <w:r>
        <w:rPr>
          <w:sz w:val="22"/>
          <w:szCs w:val="22"/>
        </w:rPr>
        <w:t xml:space="preserve">Analyse des réponses;</w:t>
      </w:r>
    </w:p>
    <w:p>
      <w:pPr>
        <w:pStyle w:val="ListParagraph"/>
        <w:numPr>
          <w:ilvl w:val="0"/>
          <w:numId w:val="2"/>
        </w:numPr>
        <w:spacing w:after="40"/>
      </w:pPr>
      <w:r>
        <w:rPr>
          <w:sz w:val="22"/>
          <w:szCs w:val="22"/>
        </w:rPr>
        <w:t xml:space="preserve">Jusqu’à deux cas-pilotes d’automatisation, testés exclusivement sur l’entreprise du prestataire (jamais sur les données du cabinet ni de ses clients);</w:t>
      </w:r>
    </w:p>
    <w:p>
      <w:pPr>
        <w:pStyle w:val="ListParagraph"/>
        <w:numPr>
          <w:ilvl w:val="0"/>
          <w:numId w:val="2"/>
        </w:numPr>
        <w:spacing w:after="40"/>
      </w:pPr>
      <w:r>
        <w:rPr>
          <w:sz w:val="22"/>
          <w:szCs w:val="22"/>
        </w:rPr>
        <w:t xml:space="preserve">Rencontre d’équipe sur place;</w:t>
      </w:r>
    </w:p>
    <w:p>
      <w:pPr>
        <w:pStyle w:val="ListParagraph"/>
        <w:numPr>
          <w:ilvl w:val="0"/>
          <w:numId w:val="2"/>
        </w:numPr>
        <w:spacing w:after="40"/>
      </w:pPr>
      <w:r>
        <w:rPr>
          <w:sz w:val="22"/>
          <w:szCs w:val="22"/>
        </w:rPr>
        <w:t xml:space="preserve">Remise d’une feuille de route priorisée;</w:t>
      </w:r>
    </w:p>
    <w:p>
      <w:pPr>
        <w:pStyle w:val="ListParagraph"/>
        <w:numPr>
          <w:ilvl w:val="0"/>
          <w:numId w:val="2"/>
        </w:numPr>
        <w:spacing w:after="120"/>
      </w:pPr>
      <w:r>
        <w:rPr>
          <w:sz w:val="22"/>
          <w:szCs w:val="22"/>
        </w:rPr>
        <w:t xml:space="preserve">Suivi sur place (accompagnement en gestion du changement).</w:t>
      </w:r>
    </w:p>
    <w:p>
      <w:pPr>
        <w:pStyle w:val="Heading1"/>
        <w:spacing w:after="120" w:before="240"/>
      </w:pPr>
      <w:r>
        <w:rPr>
          <w:b/>
          <w:bCs/>
          <w:color w:val="1a1a1a"/>
          <w:sz w:val="24"/>
          <w:szCs w:val="24"/>
        </w:rPr>
        <w:t xml:space="preserve">3. Prix et facturation</w:t>
      </w:r>
    </w:p>
    <w:p>
      <w:pPr>
        <w:spacing w:after="120"/>
      </w:pPr>
      <w:r>
        <w:rPr>
          <w:sz w:val="22"/>
          <w:szCs w:val="22"/>
        </w:rPr>
        <w:t xml:space="preserve">Le prix du pilote est un </w:t>
      </w:r>
      <w:r>
        <w:rPr>
          <w:b/>
          <w:bCs/>
          <w:sz w:val="22"/>
          <w:szCs w:val="22"/>
        </w:rPr>
        <w:t xml:space="preserve">montant forfaitaire de 200,00 $, tout inclus</w:t>
      </w:r>
      <w:r>
        <w:rPr>
          <w:sz w:val="22"/>
          <w:szCs w:val="22"/>
        </w:rPr>
        <w:t xml:space="preserve"> : déplacements, repas et tous frais accessoires sont compris. Aucun autre frais ne sera facturé pour les services décrits à l’article 2.</w:t>
      </w:r>
    </w:p>
    <w:p>
      <w:pPr>
        <w:pStyle w:val="ListParagraph"/>
        <w:numPr>
          <w:ilvl w:val="0"/>
          <w:numId w:val="3"/>
        </w:numPr>
        <w:spacing w:after="40"/>
      </w:pPr>
      <w:r>
        <w:rPr>
          <w:sz w:val="22"/>
          <w:szCs w:val="22"/>
        </w:rPr>
        <w:t xml:space="preserve">Le montant forfaitaire est exclusif des taxes applicables : la TPS (5 %) et la TVQ (9,975 %) s’ajoutent au montant. Le prestataire est inscrit aux fichiers de la TPS et de la TVQ (n° TPS 764992772RT0001, n° TVQ 4036241891TQ0001), et les numéros figurent sur la facture.</w:t>
      </w:r>
    </w:p>
    <w:p>
      <w:pPr>
        <w:pStyle w:val="ListParagraph"/>
        <w:numPr>
          <w:ilvl w:val="0"/>
          <w:numId w:val="3"/>
        </w:numPr>
        <w:spacing w:after="40"/>
      </w:pPr>
      <w:r>
        <w:rPr>
          <w:sz w:val="22"/>
          <w:szCs w:val="22"/>
        </w:rPr>
        <w:t xml:space="preserve">Facturation : une facture unique (2026-003), émise à la signature du présent contrat et payable dans les 30 jours de sa réception.</w:t>
      </w:r>
    </w:p>
    <w:p>
      <w:pPr>
        <w:pStyle w:val="ListParagraph"/>
        <w:numPr>
          <w:ilvl w:val="0"/>
          <w:numId w:val="3"/>
        </w:numPr>
        <w:spacing w:after="120"/>
      </w:pPr>
      <w:r>
        <w:rPr>
          <w:sz w:val="22"/>
          <w:szCs w:val="22"/>
        </w:rPr>
        <w:t xml:space="preserve">Mode de paiement : virement Interac ou chèque à l’ordre de Ugo de Montigny; dépôt direct possible (coordonnées bancaires fournies en annexe de la facture).</w:t>
      </w:r>
    </w:p>
    <w:p>
      <w:pPr>
        <w:pStyle w:val="Heading1"/>
        <w:spacing w:after="120" w:before="240"/>
      </w:pPr>
      <w:r>
        <w:rPr>
          <w:b/>
          <w:bCs/>
          <w:color w:val="1a1a1a"/>
          <w:sz w:val="24"/>
          <w:szCs w:val="24"/>
        </w:rPr>
        <w:t xml:space="preserve">4. Confidentialité et protection des renseignements personnels</w:t>
      </w:r>
    </w:p>
    <w:p>
      <w:pPr>
        <w:pStyle w:val="ListParagraph"/>
        <w:numPr>
          <w:ilvl w:val="0"/>
          <w:numId w:val="3"/>
        </w:numPr>
        <w:spacing w:after="40"/>
      </w:pPr>
      <w:r>
        <w:rPr>
          <w:sz w:val="22"/>
          <w:szCs w:val="22"/>
        </w:rPr>
        <w:t xml:space="preserve">Le prestataire respecte le secret professionnel du cabinet : aucune donnée des clients du cabinet n’est demandée, consultée ni utilisée dans le cadre du pilote.</w:t>
      </w:r>
    </w:p>
    <w:p>
      <w:pPr>
        <w:pStyle w:val="ListParagraph"/>
        <w:numPr>
          <w:ilvl w:val="0"/>
          <w:numId w:val="3"/>
        </w:numPr>
        <w:spacing w:after="40"/>
      </w:pPr>
      <w:r>
        <w:rPr>
          <w:sz w:val="22"/>
          <w:szCs w:val="22"/>
        </w:rPr>
        <w:t xml:space="preserve">Les cas-pilotes d’automatisation sont testés uniquement sur l’entreprise du prestataire, jamais sur les données du cabinet ni de ses clients.</w:t>
      </w:r>
    </w:p>
    <w:p>
      <w:pPr>
        <w:pStyle w:val="ListParagraph"/>
        <w:numPr>
          <w:ilvl w:val="0"/>
          <w:numId w:val="3"/>
        </w:numPr>
        <w:spacing w:after="40"/>
      </w:pPr>
      <w:r>
        <w:rPr>
          <w:sz w:val="22"/>
          <w:szCs w:val="22"/>
        </w:rPr>
        <w:t xml:space="preserve">Les réponses au questionnaire de découverte sont recueillies sous code répondant; la correspondance entre les codes et les personnes est conservée uniquement par le prestataire et n’est jamais communiquée au client. Le prestataire ne transmet au client que des constats d’ensemble; aucune réponse n’est associée nominativement à un membre de l’équipe.</w:t>
      </w:r>
    </w:p>
    <w:p>
      <w:pPr>
        <w:pStyle w:val="ListParagraph"/>
        <w:numPr>
          <w:ilvl w:val="0"/>
          <w:numId w:val="3"/>
        </w:numPr>
        <w:spacing w:after="40"/>
      </w:pPr>
      <w:r>
        <w:rPr>
          <w:sz w:val="22"/>
          <w:szCs w:val="22"/>
        </w:rPr>
        <w:t xml:space="preserve">Les réponses au questionnaire, ainsi que la liste de correspondance des codes, sont détruites au plus tard 6 mois après la collecte, conformément aux bonnes pratiques de la Loi 25 sur la protection des renseignements personnels.</w:t>
      </w:r>
    </w:p>
    <w:p>
      <w:pPr>
        <w:pStyle w:val="ListParagraph"/>
        <w:numPr>
          <w:ilvl w:val="0"/>
          <w:numId w:val="3"/>
        </w:numPr>
        <w:spacing w:after="120"/>
      </w:pPr>
      <w:r>
        <w:rPr>
          <w:sz w:val="22"/>
          <w:szCs w:val="22"/>
        </w:rPr>
        <w:t xml:space="preserve">Chaque partie s’engage à garder confidentielle toute information non publique obtenue de l’autre partie dans le cadre du pilote.</w:t>
      </w:r>
    </w:p>
    <w:p>
      <w:pPr>
        <w:pStyle w:val="Heading1"/>
        <w:spacing w:after="120" w:before="240"/>
      </w:pPr>
      <w:r>
        <w:rPr>
          <w:b/>
          <w:bCs/>
          <w:color w:val="1a1a1a"/>
          <w:sz w:val="24"/>
          <w:szCs w:val="24"/>
        </w:rPr>
        <w:t xml:space="preserve">5. Propriété des livrables</w:t>
      </w:r>
    </w:p>
    <w:p>
      <w:pPr>
        <w:spacing w:after="120"/>
      </w:pPr>
      <w:r>
        <w:rPr>
          <w:sz w:val="22"/>
          <w:szCs w:val="22"/>
        </w:rPr>
        <w:t xml:space="preserve">Les livrables du pilote (analyse, feuille de route priorisée et documents remis) deviennent la propriété du client dès le paiement complet du montant forfaitaire. Le prestataire conserve ses méthodes, outils et savoir-faire généraux.</w:t>
      </w:r>
    </w:p>
    <w:p>
      <w:pPr>
        <w:pStyle w:val="Heading1"/>
        <w:spacing w:after="120" w:before="240"/>
      </w:pPr>
      <w:r>
        <w:rPr>
          <w:b/>
          <w:bCs/>
          <w:color w:val="1a1a1a"/>
          <w:sz w:val="24"/>
          <w:szCs w:val="24"/>
        </w:rPr>
        <w:t xml:space="preserve">6. Responsabilité</w:t>
      </w:r>
    </w:p>
    <w:p>
      <w:pPr>
        <w:spacing w:after="120"/>
      </w:pPr>
      <w:r>
        <w:rPr>
          <w:sz w:val="22"/>
          <w:szCs w:val="22"/>
        </w:rPr>
        <w:t xml:space="preserve">La responsabilité totale du prestataire en lien avec ce contrat est limitée au montant effectivement payé par le client, soit au maximum 200,00 $. Les recommandations remises constituent des conseils d’accompagnement; les décisions de mise en œuvre demeurent celles du client.</w:t>
      </w:r>
    </w:p>
    <w:p>
      <w:pPr>
        <w:pStyle w:val="Heading1"/>
        <w:spacing w:after="120" w:before="240"/>
      </w:pPr>
      <w:r>
        <w:rPr>
          <w:b/>
          <w:bCs/>
          <w:color w:val="1a1a1a"/>
          <w:sz w:val="24"/>
          <w:szCs w:val="24"/>
        </w:rPr>
        <w:t xml:space="preserve">7. Résiliation</w:t>
      </w:r>
    </w:p>
    <w:p>
      <w:pPr>
        <w:spacing w:after="120"/>
      </w:pPr>
      <w:r>
        <w:rPr>
          <w:sz w:val="22"/>
          <w:szCs w:val="22"/>
        </w:rPr>
        <w:t xml:space="preserve">Chaque partie peut mettre fin au contrat en tout temps, sur simple avis écrit (courriel suffisant). En cas de résiliation après le début des travaux, le montant forfaitaire est ajusté au prorata des étapes de l’article 2 déjà réalisées; toute somme payée en trop est remboursée, et les obligations de confidentialité et de destruction des données de l’article 4 subsistent.</w:t>
      </w:r>
    </w:p>
    <w:p>
      <w:pPr>
        <w:pStyle w:val="Heading1"/>
        <w:spacing w:after="120" w:before="240"/>
      </w:pPr>
      <w:r>
        <w:rPr>
          <w:b/>
          <w:bCs/>
          <w:color w:val="1a1a1a"/>
          <w:sz w:val="24"/>
          <w:szCs w:val="24"/>
        </w:rPr>
        <w:t xml:space="preserve">8. Non-exclusivité</w:t>
      </w:r>
    </w:p>
    <w:p>
      <w:pPr>
        <w:spacing w:after="120"/>
      </w:pPr>
      <w:r>
        <w:rPr>
          <w:sz w:val="22"/>
          <w:szCs w:val="22"/>
        </w:rPr>
        <w:t xml:space="preserve">Ce contrat ne crée aucune exclusivité : chaque partie demeure libre de travailler avec d’autres clients ou prestataires.</w:t>
      </w:r>
    </w:p>
    <w:p>
      <w:pPr>
        <w:pStyle w:val="Heading1"/>
        <w:spacing w:after="120" w:before="240"/>
      </w:pPr>
      <w:r>
        <w:rPr>
          <w:b/>
          <w:bCs/>
          <w:color w:val="1a1a1a"/>
          <w:sz w:val="24"/>
          <w:szCs w:val="24"/>
        </w:rPr>
        <w:t xml:space="preserve">9. Durée</w:t>
      </w:r>
    </w:p>
    <w:p>
      <w:pPr>
        <w:spacing w:after="120"/>
      </w:pPr>
      <w:r>
        <w:rPr>
          <w:sz w:val="22"/>
          <w:szCs w:val="22"/>
        </w:rPr>
        <w:t xml:space="preserve">Le contrat prend effet à sa signature. Le pilote se déroule à l’automne 2026; le calendrier précis des étapes est convenu entre les parties au fil de la démarche, en respectant le rythme des activités du cabinet (période des vacances comprise). Le contrat prend fin à la remise de la feuille de route et à la tenue du suivi sur place (étapes 5 et 6 de l’article 2), sous réserve des obligations de confidentialité et de destruction des données de l’article 4, qui subsistent.</w:t>
      </w:r>
    </w:p>
    <w:p>
      <w:pPr>
        <w:pStyle w:val="Heading1"/>
        <w:spacing w:after="120" w:before="240"/>
      </w:pPr>
      <w:r>
        <w:rPr>
          <w:b/>
          <w:bCs/>
          <w:color w:val="1a1a1a"/>
          <w:sz w:val="24"/>
          <w:szCs w:val="24"/>
        </w:rPr>
        <w:t xml:space="preserve">10. Dispositions générales</w:t>
      </w:r>
    </w:p>
    <w:p>
      <w:pPr>
        <w:pStyle w:val="ListParagraph"/>
        <w:numPr>
          <w:ilvl w:val="0"/>
          <w:numId w:val="3"/>
        </w:numPr>
        <w:spacing w:after="40"/>
      </w:pPr>
      <w:r>
        <w:rPr>
          <w:sz w:val="22"/>
          <w:szCs w:val="22"/>
        </w:rPr>
        <w:t xml:space="preserve">Le présent contrat constitue l’entente complète entre les parties pour le pilote et remplace les échanges antérieurs sur le même objet; la proposition du 20 juillet 2026 y demeure jointe à titre descriptif.</w:t>
      </w:r>
    </w:p>
    <w:p>
      <w:pPr>
        <w:pStyle w:val="ListParagraph"/>
        <w:numPr>
          <w:ilvl w:val="0"/>
          <w:numId w:val="3"/>
        </w:numPr>
        <w:spacing w:after="40"/>
      </w:pPr>
      <w:r>
        <w:rPr>
          <w:sz w:val="22"/>
          <w:szCs w:val="22"/>
        </w:rPr>
        <w:t xml:space="preserve">Toute modification se fait par écrit (courriel accepté) avec l’accord des deux parties.</w:t>
      </w:r>
    </w:p>
    <w:p>
      <w:pPr>
        <w:pStyle w:val="ListParagraph"/>
        <w:numPr>
          <w:ilvl w:val="0"/>
          <w:numId w:val="3"/>
        </w:numPr>
        <w:spacing w:after="120"/>
      </w:pPr>
      <w:r>
        <w:rPr>
          <w:sz w:val="22"/>
          <w:szCs w:val="22"/>
        </w:rPr>
        <w:t xml:space="preserve">Le contrat est régi par les lois applicables au Québec.</w:t>
      </w:r>
    </w:p>
    <w:p>
      <w:pPr>
        <w:pStyle w:val="Heading1"/>
        <w:spacing w:after="120" w:before="240"/>
      </w:pPr>
      <w:r>
        <w:rPr>
          <w:b/>
          <w:bCs/>
          <w:color w:val="1a1a1a"/>
          <w:sz w:val="24"/>
          <w:szCs w:val="24"/>
        </w:rPr>
        <w:t xml:space="preserve">11. Signatures</w:t>
      </w:r>
    </w:p>
    <w:p>
      <w:pPr>
        <w:spacing w:after="240"/>
      </w:pPr>
      <w:r>
        <w:rPr>
          <w:sz w:val="22"/>
          <w:szCs w:val="22"/>
        </w:rPr>
        <w:t xml:space="preserve">Fait en deux exemplaires.</w:t>
      </w:r>
    </w:p>
    <w:p>
      <w:pPr>
        <w:spacing w:after="200"/>
      </w:pPr>
      <w:r>
        <w:rPr>
          <w:b/>
          <w:bCs/>
          <w:sz w:val="22"/>
          <w:szCs w:val="22"/>
        </w:rPr>
        <w:t xml:space="preserve">Pour le prestataire — IA avec Ugo :</w:t>
      </w:r>
    </w:p>
    <w:p>
      <w:pPr>
        <w:spacing w:after="60"/>
      </w:pPr>
      <w:r>
        <w:rPr>
          <w:sz w:val="22"/>
          <w:szCs w:val="22"/>
        </w:rPr>
        <w:t xml:space="preserve">Signature : _____________________________</w:t>
      </w:r>
    </w:p>
    <w:p>
      <w:pPr>
        <w:spacing w:after="40"/>
      </w:pPr>
      <w:r>
        <w:rPr>
          <w:sz w:val="22"/>
          <w:szCs w:val="22"/>
        </w:rPr>
        <w:t xml:space="preserve">Ugo de Montigny</w:t>
      </w:r>
    </w:p>
    <w:p>
      <w:pPr>
        <w:spacing w:after="280"/>
      </w:pPr>
      <w:r>
        <w:rPr>
          <w:sz w:val="22"/>
          <w:szCs w:val="22"/>
        </w:rPr>
        <w:t xml:space="preserve">Date : _____________________________</w:t>
      </w:r>
    </w:p>
    <w:p>
      <w:pPr>
        <w:spacing w:after="200"/>
      </w:pPr>
      <w:r>
        <w:rPr>
          <w:b/>
          <w:bCs/>
          <w:sz w:val="22"/>
          <w:szCs w:val="22"/>
        </w:rPr>
        <w:t xml:space="preserve">Pour le client — Létourneau Boutin — Comptabilité &amp; Fiscalité :</w:t>
      </w:r>
    </w:p>
    <w:p>
      <w:pPr>
        <w:spacing w:after="60"/>
      </w:pPr>
      <w:r>
        <w:rPr>
          <w:sz w:val="22"/>
          <w:szCs w:val="22"/>
        </w:rPr>
        <w:t xml:space="preserve">Signature : _____________________________</w:t>
      </w:r>
    </w:p>
    <w:p>
      <w:pPr>
        <w:spacing w:after="40"/>
      </w:pPr>
      <w:r>
        <w:rPr>
          <w:sz w:val="22"/>
          <w:szCs w:val="22"/>
        </w:rPr>
        <w:t xml:space="preserve">Jennifer Boutin, coordonnatrice du projet</w:t>
      </w:r>
    </w:p>
    <w:p>
      <w:pPr>
        <w:spacing w:after="280"/>
      </w:pPr>
      <w:r>
        <w:rPr>
          <w:sz w:val="22"/>
          <w:szCs w:val="22"/>
        </w:rPr>
        <w:t xml:space="preserve">Date : _____________________________</w:t>
      </w:r>
    </w:p>
    <w:p>
      <w:pPr>
        <w:spacing w:after="60"/>
      </w:pPr>
      <w:r>
        <w:rPr>
          <w:sz w:val="22"/>
          <w:szCs w:val="22"/>
        </w:rPr>
        <w:t xml:space="preserve">Signature : _____________________________</w:t>
      </w:r>
    </w:p>
    <w:p>
      <w:pPr>
        <w:spacing w:after="40"/>
      </w:pPr>
      <w:r>
        <w:rPr>
          <w:sz w:val="22"/>
          <w:szCs w:val="22"/>
        </w:rPr>
        <w:t xml:space="preserve">Pierre-Luc Boutin, copropriétaire </w:t>
      </w:r>
      <w:r>
        <w:rPr>
          <w:i/>
          <w:iCs/>
          <w:color w:val="666666"/>
          <w:sz w:val="22"/>
          <w:szCs w:val="22"/>
        </w:rPr>
        <w:t xml:space="preserve">(seconde signature — au choix du cabinet)</w:t>
      </w:r>
    </w:p>
    <w:p>
      <w:pPr>
        <w:spacing w:after="120"/>
      </w:pPr>
      <w:r>
        <w:rPr>
          <w:sz w:val="22"/>
          <w:szCs w:val="22"/>
        </w:rPr>
        <w:t xml:space="preserve">Date : 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2026-08-18T17:39:44.601Z</dcterms:created>
  <dcterms:modified xsi:type="dcterms:W3CDTF">2026-08-18T17:39:44.602Z</dcterms:modified>
</cp:coreProperties>
</file>

<file path=docProps/custom.xml><?xml version="1.0" encoding="utf-8"?>
<Properties xmlns="http://schemas.openxmlformats.org/officeDocument/2006/custom-properties" xmlns:vt="http://schemas.openxmlformats.org/officeDocument/2006/docPropsVTypes"/>
</file>