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17324D"/>
          <w:sz w:val="40"/>
        </w:rPr>
        <w:t>ImmoLogik – Roadmap und Statusupdate</w:t>
      </w:r>
    </w:p>
    <w:p>
      <w:pPr>
        <w:jc w:val="left"/>
      </w:pPr>
      <w:r>
        <w:rPr>
          <w:rFonts w:ascii="Aptos" w:hAnsi="Aptos"/>
          <w:color w:val="5F6B7A"/>
          <w:sz w:val="21"/>
        </w:rPr>
        <w:t>Soll-/Ist-Abgleich auf Basis der PDF-Roadmap vom 11.03.2026 und der aktuell hochgeladenen Projektdateien. Stand: 21.03.2026.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1EA"/>
          <w:left w:val="single" w:sz="8" w:space="0" w:color="D9E1EA"/>
          <w:bottom w:val="single" w:sz="8" w:space="0" w:color="D9E1EA"/>
          <w:right w:val="single" w:sz="8" w:space="0" w:color="D9E1EA"/>
          <w:insideH w:val="single" w:sz="8" w:space="0" w:color="D9E1EA"/>
          <w:insideV w:val="single" w:sz="8" w:space="0" w:color="D9E1EA"/>
        </w:tblBorders>
      </w:tblPr>
      <w:tblGrid>
        <w:gridCol w:w="10200"/>
      </w:tblGrid>
      <w:tr>
        <w:tc>
          <w:tcPr>
            <w:tcW w:type="dxa" w:w="102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  <w:shd w:fill="EEF5FB"/>
          </w:tcPr>
          <w:p>
            <w:r>
              <w:rPr>
                <w:rFonts w:ascii="Aptos Display" w:hAnsi="Aptos Display"/>
                <w:b/>
                <w:color w:val="17324D"/>
                <w:sz w:val="23"/>
              </w:rPr>
              <w:t>Kurzfazit</w:t>
              <w:br/>
            </w:r>
            <w:r>
              <w:rPr>
                <w:rFonts w:ascii="Aptos" w:hAnsi="Aptos"/>
                <w:color w:val="243746"/>
                <w:sz w:val="21"/>
              </w:rPr>
              <w:t>• Die 6-Block-Hauptroadmap bleibt fachlich richtig und sollte nicht ersetzt, sondern fortgeschrieben werden.</w:t>
              <w:br/>
            </w:r>
            <w:r>
              <w:rPr>
                <w:rFonts w:ascii="Aptos" w:hAnsi="Aptos"/>
                <w:color w:val="243746"/>
                <w:sz w:val="21"/>
              </w:rPr>
              <w:t>• Der Upload belegt deutliche Fortschritte über mehrere Module hinweg: Dashboard-Anbindung, Objekt-/Dokumenten-/Mieter-/Vertragsdatenpfade und besonders den Nebenkosten-Strang.</w:t>
              <w:br/>
            </w:r>
            <w:r>
              <w:rPr>
                <w:rFonts w:ascii="Aptos" w:hAnsi="Aptos"/>
                <w:color w:val="243746"/>
                <w:sz w:val="21"/>
              </w:rPr>
              <w:t>• Der größte Reifegewinn ist in Nebenkosten sichtbar: fachlicher Prüfblock, Freigabelogik, Verteilung, Ergebnis je Einheit sowie Einzelreport/Freigabe-Snapshot.</w:t>
              <w:br/>
            </w:r>
            <w:r>
              <w:rPr>
                <w:rFonts w:ascii="Aptos" w:hAnsi="Aptos"/>
                <w:color w:val="243746"/>
                <w:sz w:val="21"/>
              </w:rPr>
              <w:t>• Offen bleiben vor allem echte Relationen zwischen den Modulen sowie API-/DB-Persistenz für Nebenkosten und die Übernahme aus WEG-Stammdaten.</w:t>
            </w:r>
          </w:p>
        </w:tc>
      </w:tr>
    </w:tbl>
    <w:p/>
    <w:p>
      <w:pPr>
        <w:spacing w:before="240" w:after="120"/>
      </w:pPr>
      <w:r>
        <w:rPr>
          <w:rFonts w:ascii="Aptos Display" w:hAnsi="Aptos Display"/>
          <w:b/>
          <w:color w:val="17324D"/>
          <w:sz w:val="28"/>
        </w:rPr>
        <w:t>1. Bewertungsrahmen</w:t>
      </w:r>
    </w:p>
    <w:p>
      <w:pPr>
        <w:pStyle w:val="ListBullet"/>
        <w:spacing w:after="40"/>
        <w:ind w:left="198"/>
      </w:pPr>
      <w:r>
        <w:rPr>
          <w:rFonts w:ascii="Aptos" w:hAnsi="Aptos"/>
          <w:sz w:val="21"/>
        </w:rPr>
        <w:t>Die Bewertung stützt sich ausschließlich auf den hochgeladenen Artefaktstand; sie ist damit belastbar für den belegten Ist-Stand, aber kein Vollscan des gesamten Repositories.</w:t>
      </w:r>
    </w:p>
    <w:p>
      <w:pPr>
        <w:pStyle w:val="ListBullet"/>
        <w:spacing w:after="40"/>
        <w:ind w:left="198"/>
      </w:pPr>
      <w:r>
        <w:rPr>
          <w:rFonts w:ascii="Aptos" w:hAnsi="Aptos"/>
          <w:sz w:val="21"/>
        </w:rPr>
        <w:t>Die Hauptroadmap aus der PDF vom 11.03.2026 bleibt Referenz. Ergänzt wird ein aktualisierter Ist-Stand zum 21.03.2026.</w:t>
      </w:r>
    </w:p>
    <w:p>
      <w:pPr>
        <w:pStyle w:val="ListBullet"/>
        <w:spacing w:after="40"/>
        <w:ind w:left="198"/>
      </w:pPr>
      <w:r>
        <w:rPr>
          <w:rFonts w:ascii="Aptos" w:hAnsi="Aptos"/>
          <w:sz w:val="21"/>
        </w:rPr>
        <w:t>Bewertungsskala: Stark = funktional und strukturell sichtbar; Mittel = sichtbar begonnen und verwertbar; In Vorbereitung = technische Basis vorhanden, aber fachlich noch nicht geschlossen; Offen = im Upload nicht belegt.</w:t>
      </w:r>
    </w:p>
    <w:p>
      <w:pPr>
        <w:spacing w:before="240" w:after="120"/>
      </w:pPr>
      <w:r>
        <w:rPr>
          <w:rFonts w:ascii="Aptos Display" w:hAnsi="Aptos Display"/>
          <w:b/>
          <w:color w:val="17324D"/>
          <w:sz w:val="28"/>
        </w:rPr>
        <w:t>2. Status der Hauptroadmap (aktualisiert)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1EA"/>
          <w:left w:val="single" w:sz="8" w:space="0" w:color="D9E1EA"/>
          <w:bottom w:val="single" w:sz="8" w:space="0" w:color="D9E1EA"/>
          <w:right w:val="single" w:sz="8" w:space="0" w:color="D9E1EA"/>
          <w:insideH w:val="single" w:sz="8" w:space="0" w:color="D9E1EA"/>
          <w:insideV w:val="single" w:sz="8" w:space="0" w:color="D9E1EA"/>
        </w:tblBorders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Roadmap-Block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Soll / Zielbild</w:t>
            </w:r>
          </w:p>
        </w:tc>
        <w:tc>
          <w:tcPr>
            <w:tcW w:type="dxa" w:w="3798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Belegter Ist-Stand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Bewertung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Nächster Schritt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1. Plattform / Admin-Grundgerüst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Monorepo, gemeinsamer Build-/Dev-Workflow, Web + API sauber trennbar.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pnpm-Monorepo mit Root-Skripten für parallelen Start, Build, Lint und Docker-Infrastruktur; API auf NestJS/Prisma, Web auf Next.js.</w:t>
            </w:r>
          </w:p>
        </w:tc>
        <w:tc>
          <w:tcPr>
            <w:tcW w:type="dxa" w:w="2040"/>
            <w:shd w:fill="E7F4E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3643B"/>
                <w:sz w:val="20"/>
              </w:rPr>
              <w:t>Stark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Betriebssicherheit, CI, Umgebungsvariablen und reproduzierbaren Start weiter härten.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2. Objektmodul stabilisieren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Objekte fachlich sauber führen und als Primäranker für Folgeprozesse nutzen.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Objektdaten sind bereits in Service- und Dashboard-Pfad eingebunden; Display-ID wird normalisiert und sortiert, Dashboard verarbeitet /objects für Kennzahlen und Aktivitäten.</w:t>
            </w:r>
          </w:p>
        </w:tc>
        <w:tc>
          <w:tcPr>
            <w:tcW w:type="dxa" w:w="2040"/>
            <w:shd w:fill="FFF5D6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7A5200"/>
                <w:sz w:val="20"/>
              </w:rPr>
              <w:t>Mittel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Objekt-UI und Relationen zu Dokumenten, Einheiten, Mietern und Verträgen konsistent schließen.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3. Kurze / sichtbare Objekt-ID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Eindeutige, sichtbare Objekt-ID als durchgängiger Schlüssel im Frontend und Backend.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Die Objekt-ID ist technisch bereits im Datenpfad verankert und wird normalisiert; im Statusbild ist dieser Block erkennbar weiter als in der PDF-Basis.</w:t>
            </w:r>
          </w:p>
        </w:tc>
        <w:tc>
          <w:tcPr>
            <w:tcW w:type="dxa" w:w="2040"/>
            <w:shd w:fill="FFF5D6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7A5200"/>
                <w:sz w:val="20"/>
              </w:rPr>
              <w:t>Mittel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Validierung, Anzeige und Nutzung der Kurz-ID end-to-end in allen Masken und Übersichten festziehen.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4. Documents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Dokumentenmodul als fester Bestandteil je Objekt / Prozess.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Dokumente sind im Dashboard direkt integriert; Aktivitäten und Kennzahlen werden aus /documents berechnet. Die technische Basis ist sichtbar vorhanden.</w:t>
            </w:r>
          </w:p>
        </w:tc>
        <w:tc>
          <w:tcPr>
            <w:tcW w:type="dxa" w:w="2040"/>
            <w:shd w:fill="FFF5D6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7A5200"/>
                <w:sz w:val="20"/>
              </w:rPr>
              <w:t>Mittel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Upload, Kategorisierung, Zuordnung und operative Dokumenten-Workflows vervollständigen.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5. Tenants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Mieter-/Mandantenpfad fachlich verwertbar und an Objekte / Verträge anschließen.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Dashboard ruft /tenants ab; im Backend-Schema sind Tenant/User sowie zusätzlich Mieter als Domänenmodell angelegt. Der Bereich ist damit klar weiter als reine Vorstufe.</w:t>
            </w:r>
          </w:p>
        </w:tc>
        <w:tc>
          <w:tcPr>
            <w:tcW w:type="dxa" w:w="2040"/>
            <w:shd w:fill="FFF5D6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7A5200"/>
                <w:sz w:val="20"/>
              </w:rPr>
              <w:t>Mittel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Begriffe harmonisieren und den Fachpfad Mieter/Verträge/Objekte sauber relational zusammenführen.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6. Contracts + Relationen / Finance-Vorbereitung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Verträge, Relationen und Finance-Vorbereitung auf belastbare Datenpfade stellen.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Dashboard verarbeitet /contracts und /rent-units; im Schema existieren Vertrag und RentUnit. Damit ist der relationale und finanznahe Unterbau sichtbar begonnen, aber noch nicht geschlossen.</w:t>
            </w:r>
          </w:p>
        </w:tc>
        <w:tc>
          <w:tcPr>
            <w:tcW w:type="dxa" w:w="2040"/>
            <w:shd w:fill="FFF1E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8A4B08"/>
                <w:sz w:val="20"/>
              </w:rPr>
              <w:t>In Vorbereitung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Verträge mit Objekten, Einheiten und Mietern verknüpfen; danach Finance-Datenflüsse vereinheitlichen.</w:t>
            </w:r>
          </w:p>
        </w:tc>
      </w:tr>
    </w:tbl>
    <w:p/>
    <w:p>
      <w:pPr>
        <w:spacing w:before="240" w:after="120"/>
      </w:pPr>
      <w:r>
        <w:rPr>
          <w:rFonts w:ascii="Aptos Display" w:hAnsi="Aptos Display"/>
          <w:b/>
          <w:color w:val="17324D"/>
          <w:sz w:val="28"/>
        </w:rPr>
        <w:t>3. Vorgezogener Nebenkosten-Strang</w:t>
      </w:r>
    </w:p>
    <w:p>
      <w:r>
        <w:t>Gegenüber der PDF-Basis ist hier der deutlichste Fortschritt belegt. Der Strang ist fachlich bereits wesentlich weiter als ein reiner Frontend-Platzhalter.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1EA"/>
          <w:left w:val="single" w:sz="8" w:space="0" w:color="D9E1EA"/>
          <w:bottom w:val="single" w:sz="8" w:space="0" w:color="D9E1EA"/>
          <w:right w:val="single" w:sz="8" w:space="0" w:color="D9E1EA"/>
          <w:insideH w:val="single" w:sz="8" w:space="0" w:color="D9E1EA"/>
          <w:insideV w:val="single" w:sz="8" w:space="0" w:color="D9E1EA"/>
        </w:tblBorders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Roadmap-Block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Soll / Zielbild</w:t>
            </w:r>
          </w:p>
        </w:tc>
        <w:tc>
          <w:tcPr>
            <w:tcW w:type="dxa" w:w="3798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Belegter Ist-Stand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Bewertung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Nächster Schritt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Abschlussprüfung vor Archivierung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Vor positiv geprüft / archiviert müssen die fachlichen Mindestbedingungen geprüft werden.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Ein mehrstufiger Prüfblock prüft aktive Positionen, bewertete Objektkostenstellen, Verteilschlüssel, Direkt-Zuordnung, Einheitenbasis, Vorauszahlungen, Deckung und rechnerisch vollständige Verteilung.</w:t>
            </w:r>
          </w:p>
        </w:tc>
        <w:tc>
          <w:tcPr>
            <w:tcW w:type="dxa" w:w="2040"/>
            <w:shd w:fill="E7F4E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3643B"/>
                <w:sz w:val="20"/>
              </w:rPr>
              <w:t>Stark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Prüfpunkte künftig auch serverseitig spiegeln und als fachlichen Standard festschreiben.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Freigabe- und Archivlogik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Positiv geprüft darf erst nach vollständiger Prüfung in einen stabilen Reportstand übergehen.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Der Report bleibt bis zur vollständigen Prüfung ausgeblendet; anschließend kann ein finaler Snapshot freigegeben und vom Arbeitsstand getrennt werden.</w:t>
            </w:r>
          </w:p>
        </w:tc>
        <w:tc>
          <w:tcPr>
            <w:tcW w:type="dxa" w:w="2040"/>
            <w:shd w:fill="E7F4E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3643B"/>
                <w:sz w:val="20"/>
              </w:rPr>
              <w:t>Stark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Freigabehistorie, Rollenrechte und persistente Archivierung ergänzen.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Verteilungslogik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Kosten auf Einheiten fachlich korrekt verteilen.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Verteilschlüssel MEA, Fläche, Einheit, Personen und Direkt sind im Code vorhanden; die Verteilung arbeitet cent-genau inklusive Toleranz- und Restlogik.</w:t>
            </w:r>
          </w:p>
        </w:tc>
        <w:tc>
          <w:tcPr>
            <w:tcW w:type="dxa" w:w="2040"/>
            <w:shd w:fill="E7F4E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3643B"/>
                <w:sz w:val="20"/>
              </w:rPr>
              <w:t>Stark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Sonderfälle und fachliche Varianten nur ergänzen, nicht die vorhandene Kernlogik destabilisieren.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Ergebnis je Einheit / Reportsicht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Ergebnis je Wohnung mit Umlagefähigkeit, Saldo und Empfängersicht darstellen.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Es gibt ein Ergebnis je Einheit mit umlagefähig / nicht umlagefähig, Gesamtanteil, Mieter-Saldo, Status sowie Einzelreport mit Kostenaufstellung und Empfängerlogik.</w:t>
            </w:r>
          </w:p>
        </w:tc>
        <w:tc>
          <w:tcPr>
            <w:tcW w:type="dxa" w:w="2040"/>
            <w:shd w:fill="E7F4E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3643B"/>
                <w:sz w:val="20"/>
              </w:rPr>
              <w:t>Stark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Eine konsolidierte, endgültige Jahresabrechnungsansicht für Export / Lesen ergänzen.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Stammdatenübernahme aus WEG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Nebenkosten nicht dauerhaft mit Beispieldaten führen, sondern aus dem Objekt-/WEG-Modul befüllen.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Die Komponente kann Objekte laden und Einheiten/Positionen aus dem Objektmodul wiederherstellen; gleichzeitig sind lokale Beispiel- und Storage-Pfade noch sichtbar.</w:t>
            </w:r>
          </w:p>
        </w:tc>
        <w:tc>
          <w:tcPr>
            <w:tcW w:type="dxa" w:w="2040"/>
            <w:shd w:fill="F4EF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5D3F8C"/>
                <w:sz w:val="20"/>
              </w:rPr>
              <w:t>Teilweise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WEG-Stammdaten vollständig übernehmen und lokale Beispielbasis schrittweise ablösen.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API / DB-Persistenz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Nebenkosten fachlich stabilisieren und dann persistent machen.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Im Upload ist für Nebenkosten weiterhin keine echte API-/DB-Persistenz belegt; die Roadmap-Reihenfolge aus der PDF bleibt hier weiterhin richtig.</w:t>
            </w:r>
          </w:p>
        </w:tc>
        <w:tc>
          <w:tcPr>
            <w:tcW w:type="dxa" w:w="2040"/>
            <w:shd w:fill="FDECE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8F2D2D"/>
                <w:sz w:val="20"/>
              </w:rPr>
              <w:t>Offen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Nach Abschluss der Report-/WEG-Integration API-Endpunkte, Datenmodell und Persistenz aufsetzen.</w:t>
            </w:r>
          </w:p>
        </w:tc>
      </w:tr>
    </w:tbl>
    <w:p/>
    <w:p>
      <w:pPr>
        <w:spacing w:before="240" w:after="120"/>
      </w:pPr>
      <w:r>
        <w:rPr>
          <w:rFonts w:ascii="Aptos Display" w:hAnsi="Aptos Display"/>
          <w:b/>
          <w:color w:val="17324D"/>
          <w:sz w:val="28"/>
        </w:rPr>
        <w:t>4. Modulübergreifende Fortschritte und Befunde</w:t>
      </w:r>
    </w:p>
    <w:p>
      <w:pPr>
        <w:pStyle w:val="ListBullet"/>
        <w:spacing w:after="40"/>
        <w:ind w:left="198"/>
      </w:pPr>
      <w:r>
        <w:rPr>
          <w:rFonts w:ascii="Aptos" w:hAnsi="Aptos"/>
          <w:sz w:val="21"/>
        </w:rPr>
        <w:t>Das Dashboard aggregiert bereits mehrere Kernmodule in einer gemeinsamen Übersicht: Objekte, Tenants, Contracts, Documents und RentUnits werden parallel geladen und für Kennzahlen sowie Aktivitäten verarbeitet.</w:t>
      </w:r>
    </w:p>
    <w:p>
      <w:pPr>
        <w:pStyle w:val="ListBullet"/>
        <w:spacing w:after="40"/>
        <w:ind w:left="198"/>
      </w:pPr>
      <w:r>
        <w:rPr>
          <w:rFonts w:ascii="Aptos" w:hAnsi="Aptos"/>
          <w:sz w:val="21"/>
        </w:rPr>
        <w:t>Ein zentraler API-Client ist vorhanden und deckt GET, POST, PATCH und DELETE mit Query-Handling und JSON-Parsing ab. Das ist eine saubere technische Grundlage für konsistente Frontend-Services.</w:t>
      </w:r>
    </w:p>
    <w:p>
      <w:pPr>
        <w:pStyle w:val="ListBullet"/>
        <w:spacing w:after="40"/>
        <w:ind w:left="198"/>
      </w:pPr>
      <w:r>
        <w:rPr>
          <w:rFonts w:ascii="Aptos" w:hAnsi="Aptos"/>
          <w:sz w:val="21"/>
        </w:rPr>
        <w:t>Im Objektservice werden Objekt-IDs normalisiert und sortiert. Damit ist die Objekt-ID nicht mehr nur eine spätere Wunschfunktion, sondern bereits Teil des Nutzpfads.</w:t>
      </w:r>
    </w:p>
    <w:p>
      <w:pPr>
        <w:pStyle w:val="ListBullet"/>
        <w:spacing w:after="40"/>
        <w:ind w:left="198"/>
      </w:pPr>
      <w:r>
        <w:rPr>
          <w:rFonts w:ascii="Aptos" w:hAnsi="Aptos"/>
          <w:sz w:val="21"/>
        </w:rPr>
        <w:t>Die technische Projektbasis ist modern und konsistent: pnpm-Monorepo, getrennte Apps für Web/API, NestJS, Prisma, Next.js und Docker-Compose für Infrastruktur.</w:t>
      </w:r>
    </w:p>
    <w:p>
      <w:pPr>
        <w:pStyle w:val="ListBullet"/>
        <w:spacing w:after="40"/>
        <w:ind w:left="198"/>
      </w:pPr>
      <w:r>
        <w:rPr>
          <w:rFonts w:ascii="Aptos" w:hAnsi="Aptos"/>
          <w:sz w:val="21"/>
        </w:rPr>
        <w:t>Die aktuelle Modelllandschaft im Backend zeigt, dass mehr als nur Nebenkosten begonnen wurde: PropertyObject, Document, RentUnit, Mieter und Vertrag belegen sichtbare Fortschritte in mehreren Domänen.</w:t>
      </w:r>
    </w:p>
    <w:p>
      <w:pPr>
        <w:spacing w:before="240" w:after="120"/>
      </w:pPr>
      <w:r>
        <w:rPr>
          <w:rFonts w:ascii="Aptos Display" w:hAnsi="Aptos Display"/>
          <w:b/>
          <w:color w:val="17324D"/>
          <w:sz w:val="28"/>
        </w:rPr>
        <w:t>5. Risiken, Inkonsistenzen und offene Punkte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1EA"/>
          <w:left w:val="single" w:sz="8" w:space="0" w:color="D9E1EA"/>
          <w:bottom w:val="single" w:sz="8" w:space="0" w:color="D9E1EA"/>
          <w:right w:val="single" w:sz="8" w:space="0" w:color="D9E1EA"/>
          <w:insideH w:val="single" w:sz="8" w:space="0" w:color="D9E1EA"/>
          <w:insideV w:val="single" w:sz="8" w:space="0" w:color="D9E1EA"/>
        </w:tblBorders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  <w:shd w:fill="3A566E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Thema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  <w:shd w:fill="3A566E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Bedeutung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  <w:shd w:fill="3A566E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Empfohlene Behandlung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ptos" w:hAnsi="Aptos"/>
                <w:b w:val="0"/>
                <w:sz w:val="20"/>
              </w:rPr>
              <w:t>Begriffswelt Tenant vs. Mieter</w:t>
            </w:r>
          </w:p>
        </w:tc>
        <w:tc>
          <w:tcPr>
            <w:tcW w:type="dxa" w:w="3400"/>
          </w:tcPr>
          <w:p>
            <w:r/>
            <w:r>
              <w:rPr>
                <w:rFonts w:ascii="Aptos" w:hAnsi="Aptos"/>
                <w:b w:val="0"/>
                <w:sz w:val="20"/>
              </w:rPr>
              <w:t>Es existieren sowohl Tenant/User als auch Mieter als Modellspur. Das ist technisch möglich, fachlich aber erklärungsbedürftig.</w:t>
            </w:r>
          </w:p>
        </w:tc>
        <w:tc>
          <w:tcPr>
            <w:tcW w:type="dxa" w:w="3400"/>
          </w:tcPr>
          <w:p>
            <w:r/>
            <w:r>
              <w:rPr>
                <w:rFonts w:ascii="Aptos" w:hAnsi="Aptos"/>
                <w:b w:val="0"/>
                <w:sz w:val="20"/>
              </w:rPr>
              <w:t>Domänenmodell klären: Mandantensicht vs. Mietersicht sauber trennen und benennen.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ptos" w:hAnsi="Aptos"/>
                <w:b w:val="0"/>
                <w:sz w:val="20"/>
              </w:rPr>
              <w:t>Dashboard-Fehlerverhalten</w:t>
            </w:r>
          </w:p>
        </w:tc>
        <w:tc>
          <w:tcPr>
            <w:tcW w:type="dxa" w:w="3400"/>
          </w:tcPr>
          <w:p>
            <w:r/>
            <w:r>
              <w:rPr>
                <w:rFonts w:ascii="Aptos" w:hAnsi="Aptos"/>
                <w:b w:val="0"/>
                <w:sz w:val="20"/>
              </w:rPr>
              <w:t>Das Dashboard fällt bei Fehlern auf leere Arrays zurück. Das ist robust, kann aber operative Fehler verschleiern.</w:t>
            </w:r>
          </w:p>
        </w:tc>
        <w:tc>
          <w:tcPr>
            <w:tcW w:type="dxa" w:w="3400"/>
          </w:tcPr>
          <w:p>
            <w:r/>
            <w:r>
              <w:rPr>
                <w:rFonts w:ascii="Aptos" w:hAnsi="Aptos"/>
                <w:b w:val="0"/>
                <w:sz w:val="20"/>
              </w:rPr>
              <w:t>Fehler sichtbar machen, ohne das Dashboard komplett abstürzen zu lassen.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ptos" w:hAnsi="Aptos"/>
                <w:b w:val="0"/>
                <w:sz w:val="20"/>
              </w:rPr>
              <w:t>Nebenkosten-Datenquelle</w:t>
            </w:r>
          </w:p>
        </w:tc>
        <w:tc>
          <w:tcPr>
            <w:tcW w:type="dxa" w:w="3400"/>
          </w:tcPr>
          <w:p>
            <w:r/>
            <w:r>
              <w:rPr>
                <w:rFonts w:ascii="Aptos" w:hAnsi="Aptos"/>
                <w:b w:val="0"/>
                <w:sz w:val="20"/>
              </w:rPr>
              <w:t>Nebenkosten ist fachlich stark, stützt sich jedoch noch teilweise auf lokale/storage-basierte Datenpfade.</w:t>
            </w:r>
          </w:p>
        </w:tc>
        <w:tc>
          <w:tcPr>
            <w:tcW w:type="dxa" w:w="3400"/>
          </w:tcPr>
          <w:p>
            <w:r/>
            <w:r>
              <w:rPr>
                <w:rFonts w:ascii="Aptos" w:hAnsi="Aptos"/>
                <w:b w:val="0"/>
                <w:sz w:val="20"/>
              </w:rPr>
              <w:t>WEG-/Objektmodul als führende Stammdatenquelle etablieren.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ptos" w:hAnsi="Aptos"/>
                <w:b w:val="0"/>
                <w:sz w:val="20"/>
              </w:rPr>
              <w:t>Persistenz / Relationen</w:t>
            </w:r>
          </w:p>
        </w:tc>
        <w:tc>
          <w:tcPr>
            <w:tcW w:type="dxa" w:w="3400"/>
          </w:tcPr>
          <w:p>
            <w:r/>
            <w:r>
              <w:rPr>
                <w:rFonts w:ascii="Aptos" w:hAnsi="Aptos"/>
                <w:b w:val="0"/>
                <w:sz w:val="20"/>
              </w:rPr>
              <w:t>Die modulübergreifenden Beziehungen sind sichtbar begonnen, aber noch nicht durchgängig fachlich geschlossen.</w:t>
            </w:r>
          </w:p>
        </w:tc>
        <w:tc>
          <w:tcPr>
            <w:tcW w:type="dxa" w:w="3400"/>
          </w:tcPr>
          <w:p>
            <w:r/>
            <w:r>
              <w:rPr>
                <w:rFonts w:ascii="Aptos" w:hAnsi="Aptos"/>
                <w:b w:val="0"/>
                <w:sz w:val="20"/>
              </w:rPr>
              <w:t>Erst Relationen festziehen, dann Nebenkosten persistent machen.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ptos" w:hAnsi="Aptos"/>
                <w:b w:val="0"/>
                <w:sz w:val="20"/>
              </w:rPr>
              <w:t>Betriebsabhängigkeiten</w:t>
            </w:r>
          </w:p>
        </w:tc>
        <w:tc>
          <w:tcPr>
            <w:tcW w:type="dxa" w:w="3400"/>
          </w:tcPr>
          <w:p>
            <w:r/>
            <w:r>
              <w:rPr>
                <w:rFonts w:ascii="Aptos" w:hAnsi="Aptos"/>
                <w:b w:val="0"/>
                <w:sz w:val="20"/>
              </w:rPr>
              <w:t>API und Prisma benötigen eine saubere Umgebungs- und Datenbankkonfiguration.</w:t>
            </w:r>
          </w:p>
        </w:tc>
        <w:tc>
          <w:tcPr>
            <w:tcW w:type="dxa" w:w="3400"/>
          </w:tcPr>
          <w:p>
            <w:r/>
            <w:r>
              <w:rPr>
                <w:rFonts w:ascii="Aptos" w:hAnsi="Aptos"/>
                <w:b w:val="0"/>
                <w:sz w:val="20"/>
              </w:rPr>
              <w:t>Env-Handling standardisieren und Start-/Build-Pfade verlässlich dokumentieren.</w:t>
            </w:r>
          </w:p>
        </w:tc>
      </w:tr>
    </w:tbl>
    <w:p/>
    <w:p>
      <w:pPr>
        <w:spacing w:before="240" w:after="120"/>
      </w:pPr>
      <w:r>
        <w:rPr>
          <w:rFonts w:ascii="Aptos Display" w:hAnsi="Aptos Display"/>
          <w:b/>
          <w:color w:val="17324D"/>
          <w:sz w:val="28"/>
        </w:rPr>
        <w:t>6. Empfohlene nächste Umsetzungsreihenfolge</w:t>
      </w:r>
    </w:p>
    <w:p>
      <w:pPr>
        <w:pStyle w:val="ListBullet"/>
        <w:spacing w:after="40"/>
        <w:ind w:left="198"/>
      </w:pPr>
      <w:r>
        <w:rPr>
          <w:rFonts w:ascii="Aptos" w:hAnsi="Aptos"/>
          <w:sz w:val="21"/>
        </w:rPr>
        <w:t>Objektmodul und sichtbare Objekt-ID end-to-end schließen, damit Folgeprozesse einen stabilen Primäranker haben.</w:t>
      </w:r>
    </w:p>
    <w:p>
      <w:pPr>
        <w:pStyle w:val="ListBullet"/>
        <w:spacing w:after="40"/>
        <w:ind w:left="198"/>
      </w:pPr>
      <w:r>
        <w:rPr>
          <w:rFonts w:ascii="Aptos" w:hAnsi="Aptos"/>
          <w:sz w:val="21"/>
        </w:rPr>
        <w:t>Documents, Tenants und Contracts fachlich an Objekte und Einheiten anbinden und die Begriffe vereinheitlichen.</w:t>
      </w:r>
    </w:p>
    <w:p>
      <w:pPr>
        <w:pStyle w:val="ListBullet"/>
        <w:spacing w:after="40"/>
        <w:ind w:left="198"/>
      </w:pPr>
      <w:r>
        <w:rPr>
          <w:rFonts w:ascii="Aptos" w:hAnsi="Aptos"/>
          <w:sz w:val="21"/>
        </w:rPr>
        <w:t>Nebenkosten-Reportansicht finalisieren; die bestehende Prüf- und Verteilungslogik nicht mehr grundsätzlich umbauen, sondern absichern.</w:t>
      </w:r>
    </w:p>
    <w:p>
      <w:pPr>
        <w:pStyle w:val="ListBullet"/>
        <w:spacing w:after="40"/>
        <w:ind w:left="198"/>
      </w:pPr>
      <w:r>
        <w:rPr>
          <w:rFonts w:ascii="Aptos" w:hAnsi="Aptos"/>
          <w:sz w:val="21"/>
        </w:rPr>
        <w:t>Stammdatenübergabe aus dem WEG-/Objektmodul in Nebenkosten vollständig herstellen.</w:t>
      </w:r>
    </w:p>
    <w:p>
      <w:pPr>
        <w:pStyle w:val="ListBullet"/>
        <w:spacing w:after="40"/>
        <w:ind w:left="198"/>
      </w:pPr>
      <w:r>
        <w:rPr>
          <w:rFonts w:ascii="Aptos" w:hAnsi="Aptos"/>
          <w:sz w:val="21"/>
        </w:rPr>
        <w:t>Erst danach API und DB-Persistenz für Nebenkosten aufsetzen und serverseitige Validierung spiegeln.</w:t>
      </w:r>
    </w:p>
    <w:p>
      <w:pPr>
        <w:pStyle w:val="ListBullet"/>
        <w:spacing w:after="40"/>
        <w:ind w:left="198"/>
      </w:pPr>
      <w:r>
        <w:rPr>
          <w:rFonts w:ascii="Aptos" w:hAnsi="Aptos"/>
          <w:sz w:val="21"/>
        </w:rPr>
        <w:t>Im Anschluss Relationen, Finance-Vorbereitung und Dashboard-Fehler-/Betriebsverhalten konsolidieren.</w:t>
      </w:r>
    </w:p>
    <w:p>
      <w:pPr>
        <w:spacing w:before="240" w:after="120"/>
      </w:pPr>
      <w:r>
        <w:rPr>
          <w:rFonts w:ascii="Aptos Display" w:hAnsi="Aptos Display"/>
          <w:b/>
          <w:color w:val="17324D"/>
          <w:sz w:val="28"/>
        </w:rPr>
        <w:t>6. Vorlage für künftige Statusupdates</w:t>
      </w:r>
    </w:p>
    <w:p>
      <w:r>
        <w:t>Diese Tabelle kann bei jedem neuen Stand fortgeschrieben werden. Empfohlen ist eine Zeile je Modul oder Teilstrang.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1EA"/>
          <w:left w:val="single" w:sz="8" w:space="0" w:color="D9E1EA"/>
          <w:bottom w:val="single" w:sz="8" w:space="0" w:color="D9E1EA"/>
          <w:right w:val="single" w:sz="8" w:space="0" w:color="D9E1EA"/>
          <w:insideH w:val="single" w:sz="8" w:space="0" w:color="D9E1EA"/>
          <w:insideV w:val="single" w:sz="8" w:space="0" w:color="D9E1EA"/>
        </w:tblBorders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Modul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Stand heute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Neuer Fortschritt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Blocker / Risiko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Nächster Schritt</w:t>
            </w:r>
          </w:p>
        </w:tc>
      </w:tr>
      <w:tr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/>
                <w:sz w:val="20"/>
              </w:rPr>
              <w:t>Objektmodul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6B7280"/>
                <w:sz w:val="20"/>
              </w:rPr>
              <w:t>...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6B7280"/>
                <w:sz w:val="20"/>
              </w:rPr>
              <w:t>...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6B7280"/>
                <w:sz w:val="20"/>
              </w:rPr>
              <w:t>...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6B7280"/>
                <w:sz w:val="20"/>
              </w:rPr>
              <w:t>...</w:t>
            </w:r>
          </w:p>
        </w:tc>
      </w:tr>
      <w:tr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/>
                <w:sz w:val="20"/>
              </w:rPr>
              <w:t>Documents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6B7280"/>
                <w:sz w:val="20"/>
              </w:rPr>
              <w:t>...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6B7280"/>
                <w:sz w:val="20"/>
              </w:rPr>
              <w:t>...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6B7280"/>
                <w:sz w:val="20"/>
              </w:rPr>
              <w:t>...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6B7280"/>
                <w:sz w:val="20"/>
              </w:rPr>
              <w:t>...</w:t>
            </w:r>
          </w:p>
        </w:tc>
      </w:tr>
      <w:tr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/>
                <w:sz w:val="20"/>
              </w:rPr>
              <w:t>Tenants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6B7280"/>
                <w:sz w:val="20"/>
              </w:rPr>
              <w:t>...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6B7280"/>
                <w:sz w:val="20"/>
              </w:rPr>
              <w:t>...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6B7280"/>
                <w:sz w:val="20"/>
              </w:rPr>
              <w:t>...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6B7280"/>
                <w:sz w:val="20"/>
              </w:rPr>
              <w:t>...</w:t>
            </w:r>
          </w:p>
        </w:tc>
      </w:tr>
      <w:tr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/>
                <w:sz w:val="20"/>
              </w:rPr>
              <w:t>Contracts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6B7280"/>
                <w:sz w:val="20"/>
              </w:rPr>
              <w:t>...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6B7280"/>
                <w:sz w:val="20"/>
              </w:rPr>
              <w:t>...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6B7280"/>
                <w:sz w:val="20"/>
              </w:rPr>
              <w:t>...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6B7280"/>
                <w:sz w:val="20"/>
              </w:rPr>
              <w:t>...</w:t>
            </w:r>
          </w:p>
        </w:tc>
      </w:tr>
      <w:tr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/>
                <w:sz w:val="20"/>
              </w:rPr>
              <w:t>Nebenkosten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6B7280"/>
                <w:sz w:val="20"/>
              </w:rPr>
              <w:t>...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6B7280"/>
                <w:sz w:val="20"/>
              </w:rPr>
              <w:t>...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6B7280"/>
                <w:sz w:val="20"/>
              </w:rPr>
              <w:t>...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6B7280"/>
                <w:sz w:val="20"/>
              </w:rPr>
              <w:t>...</w:t>
            </w:r>
          </w:p>
        </w:tc>
      </w:tr>
    </w:tbl>
    <w:p/>
    <w:p>
      <w:r>
        <w:rPr>
          <w:sz w:val="21"/>
        </w:rPr>
        <w:t/>
      </w:r>
    </w:p>
    <w:p>
      <w:r>
        <w:rPr>
          <w:b/>
          <w:sz w:val="28"/>
        </w:rPr>
        <w:t xml:space="preserve">7. Fortschreibung zum Stand 03.04.2026</w:t>
      </w:r>
    </w:p>
    <w:p>
      <w:r>
        <w:rPr>
          <w:sz w:val="21"/>
        </w:rPr>
        <w:t xml:space="preserve">Das Statusupdate vom 21.03.2026 bleibt in seiner Grundlogik richtig und wird fortgeschrieben statt ersetzt. Der aktuelle Repository-Stand bestätigt vor allem Fortschritte bei Objekten, Relationen und dem großen Nebenkosten-Strang.</w:t>
      </w:r>
    </w:p>
    <w:p>
      <w:r>
        <w:rPr>
          <w:b/>
          <w:sz w:val="21"/>
        </w:rPr>
        <w:t xml:space="preserve">Aktualisierte Einschätzung der 6 Hauptpunkte:</w:t>
      </w:r>
    </w:p>
    <w:p>
      <w:r>
        <w:rPr>
          <w:sz w:val="21"/>
        </w:rPr>
        <w:t xml:space="preserve">1. Plattform / Admin-Grundgerüst: weiterhin Stark. Monorepo, API/Web-Trennung, Root-Skripte und lokaler Start sind belastbar vorhanden; nächster Schritt bleibt Betriebssicherheit, Env-Handling und reproduzierbarer Start.</w:t>
      </w:r>
    </w:p>
    <w:p>
      <w:r>
        <w:rPr>
          <w:sz w:val="21"/>
        </w:rPr>
        <w:t xml:space="preserve">2. Objektmodul stabilisieren: weiterhin Mittel. Das Objekt ist als Primäranker sichtbar etabliert, und Objekt-ID sowie Objektbezug wurden weiter geschlossen; UI, Relationen und Folgeprozesse sind aber noch nicht vollständig fachlich abgeschlossen.</w:t>
      </w:r>
    </w:p>
    <w:p>
      <w:r>
        <w:rPr>
          <w:sz w:val="21"/>
        </w:rPr>
        <w:t xml:space="preserve">3. Kurze / sichtbare Objekt-ID: weiterhin Mittel, mit besserer Basis. Die Display-ID ist sichtbarer und konsistenter nutzbar, muss aber noch end-to-end in Masken, Filtern und Folgeprozessen durchgezogen werden.</w:t>
      </w:r>
    </w:p>
    <w:p>
      <w:r>
        <w:rPr>
          <w:sz w:val="21"/>
        </w:rPr>
        <w:t xml:space="preserve">4. Documents: von Mittel in Richtung Stark entwickelt, aber noch nicht abgeschlossen. Objekt- und Einheitenbezug sind sauberer, Upload und Statuspfad sind da; Workflows, Historie und operative Verzahnung fehlen teilweise noch.</w:t>
      </w:r>
    </w:p>
    <w:p>
      <w:r>
        <w:rPr>
          <w:sz w:val="21"/>
        </w:rPr>
        <w:t xml:space="preserve">5. Tenants: weiterhin Mittel. Der Mieterpfad ist nutzbar und relational klarer, aber die Begriffswelt Tenant/User versus Mieter bleibt fachlich erklärungsbedürftig und sollte sauber getrennt werden.</w:t>
      </w:r>
    </w:p>
    <w:p>
      <w:r>
        <w:rPr>
          <w:sz w:val="21"/>
        </w:rPr>
        <w:t xml:space="preserve">6. Contracts + Relationen / Finance-Vorbereitung: weiterhin In Vorbereitung, inzwischen mit besserem relationalem Fundament. Die Verknüpfungen zwischen Objekt, Einheit, Mieter, Vertrag und Dokumenten sind sichtbarer weiter; echte Finanzdatenflüsse und serverseitige Nebenkosten-Persistenz fehlen noch.</w:t>
      </w:r>
    </w:p>
    <w:p>
      <w:r>
        <w:rPr>
          <w:b/>
          <w:sz w:val="21"/>
        </w:rPr>
        <w:t xml:space="preserve">Aktualisierte Umsetzungsreihenfolge ab 03.04.2026:</w:t>
      </w:r>
    </w:p>
    <w:p>
      <w:r>
        <w:rPr>
          <w:sz w:val="21"/>
        </w:rPr>
        <w:t xml:space="preserve">- Objektmodul, Einheitenbezug und sichtbare Objekt-ID end-to-end schließen.</w:t>
      </w:r>
    </w:p>
    <w:p>
      <w:r>
        <w:rPr>
          <w:sz w:val="21"/>
        </w:rPr>
        <w:t xml:space="preserve">- Documents, Mieter und Verträge fachlich sauber an Objekt und Einheit anbinden und die Begriffswelt bereinigen.</w:t>
      </w:r>
    </w:p>
    <w:p>
      <w:r>
        <w:rPr>
          <w:sz w:val="21"/>
        </w:rPr>
        <w:t xml:space="preserve">- Nebenkosten fachlich nicht mehr grundlegend umbauen, sondern Report-, Prüf- und Freigabelogik finalisieren.</w:t>
      </w:r>
    </w:p>
    <w:p>
      <w:r>
        <w:rPr>
          <w:sz w:val="21"/>
        </w:rPr>
        <w:t xml:space="preserve">- Stammdatenfluss aus Objekt-/WEG-Daten in Nebenkosten vollständig herstellen und im Report sichtbar machen.</w:t>
      </w:r>
    </w:p>
    <w:p>
      <w:r>
        <w:rPr>
          <w:sz w:val="21"/>
        </w:rPr>
        <w:t xml:space="preserve">- Danach Persistenz und serverseitige Validierung für Nebenkosten und finanznahe Datenpfade aufbauen.</w:t>
      </w:r>
    </w:p>
    <w:p>
      <w:r>
        <w:rPr>
          <w:sz w:val="21"/>
        </w:rPr>
        <w:t xml:space="preserve">- Anschließend Dashboard-Fehlerverhalten, Auth/Schutz für den realen Betrieb und Betriebskonfiguration konsolidieren.</w:t>
      </w:r>
    </w:p>
    <w:p>
      <w:r>
        <w:rPr>
          <w:b/>
          <w:sz w:val="21"/>
        </w:rPr>
        <w:t xml:space="preserve">Ergänzende Beobachtung für den heutigen Stand:</w:t>
      </w:r>
    </w:p>
    <w:p>
      <w:r>
        <w:rPr>
          <w:sz w:val="21"/>
        </w:rPr>
        <w:t xml:space="preserve">Da die App zunächst für den Eigenbetrieb gedacht ist, sollte nicht Enterprise-Komplexität priorisiert werden, sondern Stabilität, Datenhaltbarkeit, Backup/Wiederherstellung und spätere Übergabefähigkeit. OneDrive eignet sich dafür gut als Backup- und Dokumentenablage, aber nicht als primärer Laufzeitort des App-Projekts.</w:t>
      </w:r>
    </w:p>
    <w:p>
      <w:r>
        <w:rPr>
          <w:sz w:val="21"/>
        </w:rPr>
        <w:t xml:space="preserve">Update 06.04.2026: Serverseitige Validierung (Berichtsjahr, Zeitraum, Positions- und Einheitensummen) schützt archivierte Nebenkostenabrechnungen, Freigaben müssen den geprüften Snapshot nutzen.</w:t>
      </w:r>
    </w:p>
    <w:p>
      <w:r>
        <w:rPr>
          <w:sz w:val="21"/>
        </w:rPr>
        <w:t xml:space="preserve">Aus dem finalen Snapshot erzeugt die UI pro Einheit/Eigentümer geprüfte Einzel- bzw. Vermieterreports und stellt direkt PDF-Buttons für Versand/Print bereit, damit Verbrauchszahlen und Ergebnisse aus dem geprüften Stand versendet werden können.</w:t>
      </w:r>
    </w:p>
    <w:sectPr w:rsidR="00FC693F" w:rsidRPr="0006063C" w:rsidSect="00034616">
      <w:pgSz w:w="12240" w:h="15840"/>
      <w:pgMar w:top="964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