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17324D"/>
          <w:sz w:val="40"/>
        </w:rPr>
        <w:t>ImmoLogik – Roadmap und Statusupdate</w:t>
      </w:r>
    </w:p>
    <w:p>
      <w:pPr>
        <w:jc w:val="left"/>
      </w:pPr>
      <w:r>
        <w:rPr>
          <w:rFonts w:ascii="Aptos" w:hAnsi="Aptos"/>
          <w:color w:val="5F6B7A"/>
          <w:sz w:val="21"/>
        </w:rPr>
        <w:t>Soll-/Ist-Abgleich auf Basis der PDF-Roadmap vom 11.03.2026 und der aktuell hochgeladenen Projektdateien. Stand: 21.03.2026.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1EA"/>
          <w:left w:val="single" w:sz="8" w:space="0" w:color="D9E1EA"/>
          <w:bottom w:val="single" w:sz="8" w:space="0" w:color="D9E1EA"/>
          <w:right w:val="single" w:sz="8" w:space="0" w:color="D9E1EA"/>
          <w:insideH w:val="single" w:sz="8" w:space="0" w:color="D9E1EA"/>
          <w:insideV w:val="single" w:sz="8" w:space="0" w:color="D9E1EA"/>
        </w:tblBorders>
      </w:tblPr>
      <w:tblGrid>
        <w:gridCol w:w="10200"/>
      </w:tblGrid>
      <w:tr>
        <w:tc>
          <w:tcPr>
            <w:tcW w:type="dxa" w:w="102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fill="EEF5FB"/>
          </w:tcPr>
          <w:p>
            <w:r>
              <w:rPr>
                <w:rFonts w:ascii="Aptos Display" w:hAnsi="Aptos Display"/>
                <w:b/>
                <w:color w:val="17324D"/>
                <w:sz w:val="23"/>
              </w:rPr>
              <w:t>Kurzfazit</w:t>
              <w:br/>
            </w:r>
            <w:r>
              <w:rPr>
                <w:rFonts w:ascii="Aptos" w:hAnsi="Aptos"/>
                <w:color w:val="243746"/>
                <w:sz w:val="21"/>
              </w:rPr>
              <w:t>• Die 6-Block-Hauptroadmap bleibt fachlich richtig und sollte nicht ersetzt, sondern fortgeschrieben werden.</w:t>
              <w:br/>
            </w:r>
            <w:r>
              <w:rPr>
                <w:rFonts w:ascii="Aptos" w:hAnsi="Aptos"/>
                <w:color w:val="243746"/>
                <w:sz w:val="21"/>
              </w:rPr>
              <w:t>• Der Upload belegt deutliche Fortschritte über mehrere Module hinweg: Dashboard-Anbindung, Objekt-/Dokumenten-/Mieter-/Vertragsdatenpfade und besonders den Nebenkosten-Strang.</w:t>
              <w:br/>
            </w:r>
            <w:r>
              <w:rPr>
                <w:rFonts w:ascii="Aptos" w:hAnsi="Aptos"/>
                <w:color w:val="243746"/>
                <w:sz w:val="21"/>
              </w:rPr>
              <w:t>• Der größte Reifegewinn ist in Nebenkosten sichtbar: fachlicher Prüfblock, Freigabelogik, Verteilung, Ergebnis je Einheit sowie Einzelreport/Freigabe-Snapshot.</w:t>
              <w:br/>
            </w:r>
            <w:r>
              <w:rPr>
                <w:rFonts w:ascii="Aptos" w:hAnsi="Aptos"/>
                <w:color w:val="243746"/>
                <w:sz w:val="21"/>
              </w:rPr>
              <w:t>• Offen bleiben vor allem echte Relationen zwischen den Modulen sowie API-/DB-Persistenz für Nebenkosten und die Übernahme aus WEG-Stammdaten.</w:t>
            </w:r>
          </w:p>
        </w:tc>
      </w:tr>
    </w:tbl>
    <w:p/>
    <w:p>
      <w:pPr>
        <w:spacing w:before="240" w:after="120"/>
      </w:pPr>
      <w:r>
        <w:rPr>
          <w:rFonts w:ascii="Aptos Display" w:hAnsi="Aptos Display"/>
          <w:b/>
          <w:color w:val="17324D"/>
          <w:sz w:val="28"/>
        </w:rPr>
        <w:t>1. Bewertungsrahmen</w:t>
      </w:r>
    </w:p>
    <w:p>
      <w:pPr>
        <w:pStyle w:val="ListBullet"/>
        <w:spacing w:after="40"/>
        <w:ind w:left="198"/>
      </w:pPr>
      <w:r>
        <w:rPr>
          <w:rFonts w:ascii="Aptos" w:hAnsi="Aptos"/>
          <w:sz w:val="21"/>
        </w:rPr>
        <w:t>Die Bewertung stützt sich ausschließlich auf den hochgeladenen Artefaktstand; sie ist damit belastbar für den belegten Ist-Stand, aber kein Vollscan des gesamten Repositories.</w:t>
      </w:r>
    </w:p>
    <w:p>
      <w:pPr>
        <w:pStyle w:val="ListBullet"/>
        <w:spacing w:after="40"/>
        <w:ind w:left="198"/>
      </w:pPr>
      <w:r>
        <w:rPr>
          <w:rFonts w:ascii="Aptos" w:hAnsi="Aptos"/>
          <w:sz w:val="21"/>
        </w:rPr>
        <w:t>Die Hauptroadmap aus der PDF vom 11.03.2026 bleibt Referenz. Ergänzt wird ein aktualisierter Ist-Stand zum 21.03.2026.</w:t>
      </w:r>
    </w:p>
    <w:p>
      <w:pPr>
        <w:pStyle w:val="ListBullet"/>
        <w:spacing w:after="40"/>
        <w:ind w:left="198"/>
      </w:pPr>
      <w:r>
        <w:rPr>
          <w:rFonts w:ascii="Aptos" w:hAnsi="Aptos"/>
          <w:sz w:val="21"/>
        </w:rPr>
        <w:t>Bewertungsskala: Stark = funktional und strukturell sichtbar; Mittel = sichtbar begonnen und verwertbar; In Vorbereitung = technische Basis vorhanden, aber fachlich noch nicht geschlossen; Offen = im Upload nicht belegt.</w:t>
      </w:r>
    </w:p>
    <w:p>
      <w:pPr>
        <w:spacing w:before="240" w:after="120"/>
      </w:pPr>
      <w:r>
        <w:rPr>
          <w:rFonts w:ascii="Aptos Display" w:hAnsi="Aptos Display"/>
          <w:b/>
          <w:color w:val="17324D"/>
          <w:sz w:val="28"/>
        </w:rPr>
        <w:t>2. Status der Hauptroadmap (aktualisiert)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1EA"/>
          <w:left w:val="single" w:sz="8" w:space="0" w:color="D9E1EA"/>
          <w:bottom w:val="single" w:sz="8" w:space="0" w:color="D9E1EA"/>
          <w:right w:val="single" w:sz="8" w:space="0" w:color="D9E1EA"/>
          <w:insideH w:val="single" w:sz="8" w:space="0" w:color="D9E1EA"/>
          <w:insideV w:val="single" w:sz="8" w:space="0" w:color="D9E1EA"/>
        </w:tblBorders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Roadmap-Block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Soll / Zielbild</w:t>
            </w:r>
          </w:p>
        </w:tc>
        <w:tc>
          <w:tcPr>
            <w:tcW w:type="dxa" w:w="3798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Belegter Ist-Stand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Bewertung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Nächster Schritt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1. Plattform / Admin-Grundgerüst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Monorepo, gemeinsamer Build-/Dev-Workflow, Web + API sauber trennbar.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pnpm-Monorepo mit Root-Skripten für parallelen Start, Build, Lint und Docker-Infrastruktur; API auf NestJS/Prisma, Web auf Next.js.</w:t>
            </w:r>
          </w:p>
        </w:tc>
        <w:tc>
          <w:tcPr>
            <w:tcW w:type="dxa" w:w="2040"/>
            <w:shd w:fill="E7F4E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3643B"/>
                <w:sz w:val="20"/>
              </w:rPr>
              <w:t>Stark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Betriebssicherheit, CI, Umgebungsvariablen und reproduzierbaren Start weiter härten.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2. Objektmodul stabilisieren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Objekte fachlich sauber führen und als Primäranker für Folgeprozesse nutzen.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Objektdaten sind bereits in Service- und Dashboard-Pfad eingebunden; Display-ID wird normalisiert und sortiert, Dashboard verarbeitet /objects für Kennzahlen und Aktivitäten.</w:t>
            </w:r>
          </w:p>
        </w:tc>
        <w:tc>
          <w:tcPr>
            <w:tcW w:type="dxa" w:w="2040"/>
            <w:shd w:fill="FFF5D6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7A5200"/>
                <w:sz w:val="20"/>
              </w:rPr>
              <w:t>Mittel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Objekt-UI und Relationen zu Dokumenten, Einheiten, Mietern und Verträgen konsistent schließen.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3. Kurze / sichtbare Objekt-ID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Eindeutige, sichtbare Objekt-ID als durchgängiger Schlüssel im Frontend und Backend.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Die Objekt-ID ist technisch bereits im Datenpfad verankert und wird normalisiert; im Statusbild ist dieser Block erkennbar weiter als in der PDF-Basis.</w:t>
            </w:r>
          </w:p>
        </w:tc>
        <w:tc>
          <w:tcPr>
            <w:tcW w:type="dxa" w:w="2040"/>
            <w:shd w:fill="FFF5D6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7A5200"/>
                <w:sz w:val="20"/>
              </w:rPr>
              <w:t>Mittel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Validierung, Anzeige und Nutzung der Kurz-ID end-to-end in allen Masken und Übersichten festziehen.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4. Documents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Dokumentenmodul als fester Bestandteil je Objekt / Prozess.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Dokumente sind im Dashboard direkt integriert; Aktivitäten und Kennzahlen werden aus /documents berechnet. Die technische Basis ist sichtbar vorhanden.</w:t>
            </w:r>
          </w:p>
        </w:tc>
        <w:tc>
          <w:tcPr>
            <w:tcW w:type="dxa" w:w="2040"/>
            <w:shd w:fill="FFF5D6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7A5200"/>
                <w:sz w:val="20"/>
              </w:rPr>
              <w:t>Mittel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Upload, Kategorisierung, Zuordnung und operative Dokumenten-Workflows vervollständigen.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5. Tenants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Mieter-/Mandantenpfad fachlich verwertbar und an Objekte / Verträge anschließen.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Dashboard ruft /tenants ab; im Backend-Schema sind Tenant/User sowie zusätzlich Mieter als Domänenmodell angelegt. Der Bereich ist damit klar weiter als reine Vorstufe.</w:t>
            </w:r>
          </w:p>
        </w:tc>
        <w:tc>
          <w:tcPr>
            <w:tcW w:type="dxa" w:w="2040"/>
            <w:shd w:fill="FFF5D6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7A5200"/>
                <w:sz w:val="20"/>
              </w:rPr>
              <w:t>Mittel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Begriffe harmonisieren und den Fachpfad Mieter/Verträge/Objekte sauber relational zusammenführen.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6. Contracts + Relationen / Finance-Vorbereitung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Verträge, Relationen und Finance-Vorbereitung auf belastbare Datenpfade stellen.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Dashboard verarbeitet /contracts und /rent-units; im Schema existieren Vertrag und RentUnit. Damit ist der relationale und finanznahe Unterbau sichtbar begonnen, aber noch nicht geschlossen.</w:t>
            </w:r>
          </w:p>
        </w:tc>
        <w:tc>
          <w:tcPr>
            <w:tcW w:type="dxa" w:w="2040"/>
            <w:shd w:fill="FFF1E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8A4B08"/>
                <w:sz w:val="20"/>
              </w:rPr>
              <w:t>In Vorbereitung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Verträge mit Objekten, Einheiten und Mietern verknüpfen; danach Finance-Datenflüsse vereinheitlichen.</w:t>
            </w:r>
          </w:p>
        </w:tc>
      </w:tr>
    </w:tbl>
    <w:p/>
    <w:p>
      <w:pPr>
        <w:spacing w:before="240" w:after="120"/>
      </w:pPr>
      <w:r>
        <w:rPr>
          <w:rFonts w:ascii="Aptos Display" w:hAnsi="Aptos Display"/>
          <w:b/>
          <w:color w:val="17324D"/>
          <w:sz w:val="28"/>
        </w:rPr>
        <w:t>3. Vorgezogener Nebenkosten-Strang</w:t>
      </w:r>
    </w:p>
    <w:p>
      <w:r>
        <w:t>Gegenüber der PDF-Basis ist hier der deutlichste Fortschritt belegt. Der Strang ist fachlich bereits wesentlich weiter als ein reiner Frontend-Platzhalter.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1EA"/>
          <w:left w:val="single" w:sz="8" w:space="0" w:color="D9E1EA"/>
          <w:bottom w:val="single" w:sz="8" w:space="0" w:color="D9E1EA"/>
          <w:right w:val="single" w:sz="8" w:space="0" w:color="D9E1EA"/>
          <w:insideH w:val="single" w:sz="8" w:space="0" w:color="D9E1EA"/>
          <w:insideV w:val="single" w:sz="8" w:space="0" w:color="D9E1EA"/>
        </w:tblBorders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Roadmap-Block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Soll / Zielbild</w:t>
            </w:r>
          </w:p>
        </w:tc>
        <w:tc>
          <w:tcPr>
            <w:tcW w:type="dxa" w:w="3798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Belegter Ist-Stand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Bewertung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Nächster Schritt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Abschlussprüfung vor Archivierung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Vor positiv geprüft / archiviert müssen die fachlichen Mindestbedingungen geprüft werden.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Ein mehrstufiger Prüfblock prüft aktive Positionen, bewertete Objektkostenstellen, Verteilschlüssel, Direkt-Zuordnung, Einheitenbasis, Vorauszahlungen, Deckung und rechnerisch vollständige Verteilung.</w:t>
            </w:r>
          </w:p>
        </w:tc>
        <w:tc>
          <w:tcPr>
            <w:tcW w:type="dxa" w:w="2040"/>
            <w:shd w:fill="E7F4E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3643B"/>
                <w:sz w:val="20"/>
              </w:rPr>
              <w:t>Stark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Prüfpunkte künftig auch serverseitig spiegeln und als fachlichen Standard festschreiben.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Freigabe- und Archivlogik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Positiv geprüft darf erst nach vollständiger Prüfung in einen stabilen Reportstand übergehen.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Der Report bleibt bis zur vollständigen Prüfung ausgeblendet; anschließend kann ein finaler Snapshot freigegeben und vom Arbeitsstand getrennt werden.</w:t>
            </w:r>
          </w:p>
        </w:tc>
        <w:tc>
          <w:tcPr>
            <w:tcW w:type="dxa" w:w="2040"/>
            <w:shd w:fill="E7F4E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3643B"/>
                <w:sz w:val="20"/>
              </w:rPr>
              <w:t>Stark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Freigabehistorie, Rollenrechte und persistente Archivierung ergänzen.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Verteilungslogik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Kosten auf Einheiten fachlich korrekt verteilen.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Verteilschlüssel MEA, Fläche, Einheit, Personen und Direkt sind im Code vorhanden; die Verteilung arbeitet cent-genau inklusive Toleranz- und Restlogik.</w:t>
            </w:r>
          </w:p>
        </w:tc>
        <w:tc>
          <w:tcPr>
            <w:tcW w:type="dxa" w:w="2040"/>
            <w:shd w:fill="E7F4E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3643B"/>
                <w:sz w:val="20"/>
              </w:rPr>
              <w:t>Stark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Sonderfälle und fachliche Varianten nur ergänzen, nicht die vorhandene Kernlogik destabilisieren.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Ergebnis je Einheit / Reportsicht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Ergebnis je Wohnung mit Umlagefähigkeit, Saldo und Empfängersicht darstellen.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Es gibt ein Ergebnis je Einheit mit umlagefähig / nicht umlagefähig, Gesamtanteil, Mieter-Saldo, Status sowie Einzelreport mit Kostenaufstellung und Empfängerlogik.</w:t>
            </w:r>
          </w:p>
        </w:tc>
        <w:tc>
          <w:tcPr>
            <w:tcW w:type="dxa" w:w="2040"/>
            <w:shd w:fill="E7F4E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3643B"/>
                <w:sz w:val="20"/>
              </w:rPr>
              <w:t>Stark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Eine konsolidierte, endgültige Jahresabrechnungsansicht für Export / Lesen ergänzen.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Stammdatenübernahme aus WEG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Nebenkosten nicht dauerhaft mit Beispieldaten führen, sondern aus dem Objekt-/WEG-Modul befüllen.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Die Komponente kann Objekte laden und Einheiten/Positionen aus dem Objektmodul wiederherstellen; gleichzeitig sind lokale Beispiel- und Storage-Pfade noch sichtbar.</w:t>
            </w:r>
          </w:p>
        </w:tc>
        <w:tc>
          <w:tcPr>
            <w:tcW w:type="dxa" w:w="2040"/>
            <w:shd w:fill="F4EF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5D3F8C"/>
                <w:sz w:val="20"/>
              </w:rPr>
              <w:t>Teilweise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WEG-Stammdaten vollständig übernehmen und lokale Beispielbasis schrittweise ablösen.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API / DB-Persistenz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Nebenkosten fachlich stabilisieren und dann persistent machen.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Im Upload ist für Nebenkosten weiterhin keine echte API-/DB-Persistenz belegt; die Roadmap-Reihenfolge aus der PDF bleibt hier weiterhin richtig.</w:t>
            </w:r>
          </w:p>
        </w:tc>
        <w:tc>
          <w:tcPr>
            <w:tcW w:type="dxa" w:w="2040"/>
            <w:shd w:fill="FDECEC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8F2D2D"/>
                <w:sz w:val="20"/>
              </w:rPr>
              <w:t>Offen</w:t>
            </w:r>
          </w:p>
        </w:tc>
        <w:tc>
          <w:tcPr>
            <w:tcW w:type="dxa" w:w="2040"/>
          </w:tcPr>
          <w:p>
            <w:r/>
            <w:r>
              <w:rPr>
                <w:rFonts w:ascii="Aptos" w:hAnsi="Aptos"/>
                <w:b w:val="0"/>
                <w:sz w:val="20"/>
              </w:rPr>
              <w:t>Nach Abschluss der Report-/WEG-Integration API-Endpunkte, Datenmodell und Persistenz aufsetzen.</w:t>
            </w:r>
          </w:p>
        </w:tc>
      </w:tr>
    </w:tbl>
    <w:p/>
    <w:p>
      <w:pPr>
        <w:spacing w:before="240" w:after="120"/>
      </w:pPr>
      <w:r>
        <w:rPr>
          <w:rFonts w:ascii="Aptos Display" w:hAnsi="Aptos Display"/>
          <w:b/>
          <w:color w:val="17324D"/>
          <w:sz w:val="28"/>
        </w:rPr>
        <w:t>4. Modulübergreifende Fortschritte und Befunde</w:t>
      </w:r>
    </w:p>
    <w:p>
      <w:pPr>
        <w:pStyle w:val="ListBullet"/>
        <w:spacing w:after="40"/>
        <w:ind w:left="198"/>
      </w:pPr>
      <w:r>
        <w:rPr>
          <w:rFonts w:ascii="Aptos" w:hAnsi="Aptos"/>
          <w:sz w:val="21"/>
        </w:rPr>
        <w:t>Das Dashboard aggregiert bereits mehrere Kernmodule in einer gemeinsamen Übersicht: Objekte, Tenants, Contracts, Documents und RentUnits werden parallel geladen und für Kennzahlen sowie Aktivitäten verarbeitet.</w:t>
      </w:r>
    </w:p>
    <w:p>
      <w:pPr>
        <w:pStyle w:val="ListBullet"/>
        <w:spacing w:after="40"/>
        <w:ind w:left="198"/>
      </w:pPr>
      <w:r>
        <w:rPr>
          <w:rFonts w:ascii="Aptos" w:hAnsi="Aptos"/>
          <w:sz w:val="21"/>
        </w:rPr>
        <w:t>Ein zentraler API-Client ist vorhanden und deckt GET, POST, PATCH und DELETE mit Query-Handling und JSON-Parsing ab. Das ist eine saubere technische Grundlage für konsistente Frontend-Services.</w:t>
      </w:r>
    </w:p>
    <w:p>
      <w:pPr>
        <w:pStyle w:val="ListBullet"/>
        <w:spacing w:after="40"/>
        <w:ind w:left="198"/>
      </w:pPr>
      <w:r>
        <w:rPr>
          <w:rFonts w:ascii="Aptos" w:hAnsi="Aptos"/>
          <w:sz w:val="21"/>
        </w:rPr>
        <w:t>Im Objektservice werden Objekt-IDs normalisiert und sortiert. Damit ist die Objekt-ID nicht mehr nur eine spätere Wunschfunktion, sondern bereits Teil des Nutzpfads.</w:t>
      </w:r>
    </w:p>
    <w:p>
      <w:pPr>
        <w:pStyle w:val="ListBullet"/>
        <w:spacing w:after="40"/>
        <w:ind w:left="198"/>
      </w:pPr>
      <w:r>
        <w:rPr>
          <w:rFonts w:ascii="Aptos" w:hAnsi="Aptos"/>
          <w:sz w:val="21"/>
        </w:rPr>
        <w:t>Die technische Projektbasis ist modern und konsistent: pnpm-Monorepo, getrennte Apps für Web/API, NestJS, Prisma, Next.js und Docker-Compose für Infrastruktur.</w:t>
      </w:r>
    </w:p>
    <w:p>
      <w:pPr>
        <w:pStyle w:val="ListBullet"/>
        <w:spacing w:after="40"/>
        <w:ind w:left="198"/>
      </w:pPr>
      <w:r>
        <w:rPr>
          <w:rFonts w:ascii="Aptos" w:hAnsi="Aptos"/>
          <w:sz w:val="21"/>
        </w:rPr>
        <w:t>Die aktuelle Modelllandschaft im Backend zeigt, dass mehr als nur Nebenkosten begonnen wurde: PropertyObject, Document, RentUnit, Mieter und Vertrag belegen sichtbare Fortschritte in mehreren Domänen.</w:t>
      </w:r>
    </w:p>
    <w:p>
      <w:pPr>
        <w:spacing w:before="240" w:after="120"/>
      </w:pPr>
      <w:r>
        <w:rPr>
          <w:rFonts w:ascii="Aptos Display" w:hAnsi="Aptos Display"/>
          <w:b/>
          <w:color w:val="17324D"/>
          <w:sz w:val="28"/>
        </w:rPr>
        <w:t>5. Risiken, Inkonsistenzen und offene Punkte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1EA"/>
          <w:left w:val="single" w:sz="8" w:space="0" w:color="D9E1EA"/>
          <w:bottom w:val="single" w:sz="8" w:space="0" w:color="D9E1EA"/>
          <w:right w:val="single" w:sz="8" w:space="0" w:color="D9E1EA"/>
          <w:insideH w:val="single" w:sz="8" w:space="0" w:color="D9E1EA"/>
          <w:insideV w:val="single" w:sz="8" w:space="0" w:color="D9E1EA"/>
        </w:tblBorders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fill="3A566E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Thema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fill="3A566E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Bedeutung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fill="3A566E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Empfohlene Behandlung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ptos" w:hAnsi="Aptos"/>
                <w:b w:val="0"/>
                <w:sz w:val="20"/>
              </w:rPr>
              <w:t>Begriffswelt Tenant vs. Mieter</w:t>
            </w:r>
          </w:p>
        </w:tc>
        <w:tc>
          <w:tcPr>
            <w:tcW w:type="dxa" w:w="3400"/>
          </w:tcPr>
          <w:p>
            <w:r/>
            <w:r>
              <w:rPr>
                <w:rFonts w:ascii="Aptos" w:hAnsi="Aptos"/>
                <w:b w:val="0"/>
                <w:sz w:val="20"/>
              </w:rPr>
              <w:t>Es existieren sowohl Tenant/User als auch Mieter als Modellspur. Das ist technisch möglich, fachlich aber erklärungsbedürftig.</w:t>
            </w:r>
          </w:p>
        </w:tc>
        <w:tc>
          <w:tcPr>
            <w:tcW w:type="dxa" w:w="3400"/>
          </w:tcPr>
          <w:p>
            <w:r/>
            <w:r>
              <w:rPr>
                <w:rFonts w:ascii="Aptos" w:hAnsi="Aptos"/>
                <w:b w:val="0"/>
                <w:sz w:val="20"/>
              </w:rPr>
              <w:t>Domänenmodell klären: Mandantensicht vs. Mietersicht sauber trennen und benennen.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ptos" w:hAnsi="Aptos"/>
                <w:b w:val="0"/>
                <w:sz w:val="20"/>
              </w:rPr>
              <w:t>Dashboard-Fehlerverhalten</w:t>
            </w:r>
          </w:p>
        </w:tc>
        <w:tc>
          <w:tcPr>
            <w:tcW w:type="dxa" w:w="3400"/>
          </w:tcPr>
          <w:p>
            <w:r/>
            <w:r>
              <w:rPr>
                <w:rFonts w:ascii="Aptos" w:hAnsi="Aptos"/>
                <w:b w:val="0"/>
                <w:sz w:val="20"/>
              </w:rPr>
              <w:t>Das Dashboard fällt bei Fehlern auf leere Arrays zurück. Das ist robust, kann aber operative Fehler verschleiern.</w:t>
            </w:r>
          </w:p>
        </w:tc>
        <w:tc>
          <w:tcPr>
            <w:tcW w:type="dxa" w:w="3400"/>
          </w:tcPr>
          <w:p>
            <w:r/>
            <w:r>
              <w:rPr>
                <w:rFonts w:ascii="Aptos" w:hAnsi="Aptos"/>
                <w:b w:val="0"/>
                <w:sz w:val="20"/>
              </w:rPr>
              <w:t>Fehler sichtbar machen, ohne das Dashboard komplett abstürzen zu lassen.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ptos" w:hAnsi="Aptos"/>
                <w:b w:val="0"/>
                <w:sz w:val="20"/>
              </w:rPr>
              <w:t>Nebenkosten-Datenquelle</w:t>
            </w:r>
          </w:p>
        </w:tc>
        <w:tc>
          <w:tcPr>
            <w:tcW w:type="dxa" w:w="3400"/>
          </w:tcPr>
          <w:p>
            <w:r/>
            <w:r>
              <w:rPr>
                <w:rFonts w:ascii="Aptos" w:hAnsi="Aptos"/>
                <w:b w:val="0"/>
                <w:sz w:val="20"/>
              </w:rPr>
              <w:t>Nebenkosten ist fachlich stark, stützt sich jedoch noch teilweise auf lokale/storage-basierte Datenpfade.</w:t>
            </w:r>
          </w:p>
        </w:tc>
        <w:tc>
          <w:tcPr>
            <w:tcW w:type="dxa" w:w="3400"/>
          </w:tcPr>
          <w:p>
            <w:r/>
            <w:r>
              <w:rPr>
                <w:rFonts w:ascii="Aptos" w:hAnsi="Aptos"/>
                <w:b w:val="0"/>
                <w:sz w:val="20"/>
              </w:rPr>
              <w:t>WEG-/Objektmodul als führende Stammdatenquelle etablieren.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ptos" w:hAnsi="Aptos"/>
                <w:b w:val="0"/>
                <w:sz w:val="20"/>
              </w:rPr>
              <w:t>Persistenz / Relationen</w:t>
            </w:r>
          </w:p>
        </w:tc>
        <w:tc>
          <w:tcPr>
            <w:tcW w:type="dxa" w:w="3400"/>
          </w:tcPr>
          <w:p>
            <w:r/>
            <w:r>
              <w:rPr>
                <w:rFonts w:ascii="Aptos" w:hAnsi="Aptos"/>
                <w:b w:val="0"/>
                <w:sz w:val="20"/>
              </w:rPr>
              <w:t>Die modulübergreifenden Beziehungen sind sichtbar begonnen, aber noch nicht durchgängig fachlich geschlossen.</w:t>
            </w:r>
          </w:p>
        </w:tc>
        <w:tc>
          <w:tcPr>
            <w:tcW w:type="dxa" w:w="3400"/>
          </w:tcPr>
          <w:p>
            <w:r/>
            <w:r>
              <w:rPr>
                <w:rFonts w:ascii="Aptos" w:hAnsi="Aptos"/>
                <w:b w:val="0"/>
                <w:sz w:val="20"/>
              </w:rPr>
              <w:t>Erst Relationen festziehen, dann Nebenkosten persistent machen.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Aptos" w:hAnsi="Aptos"/>
                <w:b w:val="0"/>
                <w:sz w:val="20"/>
              </w:rPr>
              <w:t>Betriebsabhängigkeiten</w:t>
            </w:r>
          </w:p>
        </w:tc>
        <w:tc>
          <w:tcPr>
            <w:tcW w:type="dxa" w:w="3400"/>
          </w:tcPr>
          <w:p>
            <w:r/>
            <w:r>
              <w:rPr>
                <w:rFonts w:ascii="Aptos" w:hAnsi="Aptos"/>
                <w:b w:val="0"/>
                <w:sz w:val="20"/>
              </w:rPr>
              <w:t>API und Prisma benötigen eine saubere Umgebungs- und Datenbankkonfiguration.</w:t>
            </w:r>
          </w:p>
        </w:tc>
        <w:tc>
          <w:tcPr>
            <w:tcW w:type="dxa" w:w="3400"/>
          </w:tcPr>
          <w:p>
            <w:r/>
            <w:r>
              <w:rPr>
                <w:rFonts w:ascii="Aptos" w:hAnsi="Aptos"/>
                <w:b w:val="0"/>
                <w:sz w:val="20"/>
              </w:rPr>
              <w:t>Env-Handling standardisieren und Start-/Build-Pfade verlässlich dokumentieren.</w:t>
            </w:r>
          </w:p>
        </w:tc>
      </w:tr>
    </w:tbl>
    <w:p/>
    <w:p>
      <w:pPr>
        <w:spacing w:before="240" w:after="120"/>
      </w:pPr>
      <w:r>
        <w:rPr>
          <w:rFonts w:ascii="Aptos Display" w:hAnsi="Aptos Display"/>
          <w:b/>
          <w:color w:val="17324D"/>
          <w:sz w:val="28"/>
        </w:rPr>
        <w:t>6. Empfohlene nächste Umsetzungsreihenfolge</w:t>
      </w:r>
    </w:p>
    <w:p>
      <w:pPr>
        <w:pStyle w:val="ListBullet"/>
        <w:spacing w:after="40"/>
        <w:ind w:left="198"/>
      </w:pPr>
      <w:r>
        <w:rPr>
          <w:rFonts w:ascii="Aptos" w:hAnsi="Aptos"/>
          <w:sz w:val="21"/>
        </w:rPr>
        <w:t>Objektmodul und sichtbare Objekt-ID end-to-end schließen, damit Folgeprozesse einen stabilen Primäranker haben.</w:t>
      </w:r>
    </w:p>
    <w:p>
      <w:pPr>
        <w:pStyle w:val="ListBullet"/>
        <w:spacing w:after="40"/>
        <w:ind w:left="198"/>
      </w:pPr>
      <w:r>
        <w:rPr>
          <w:rFonts w:ascii="Aptos" w:hAnsi="Aptos"/>
          <w:sz w:val="21"/>
        </w:rPr>
        <w:t>Documents, Tenants und Contracts fachlich an Objekte und Einheiten anbinden und die Begriffe vereinheitlichen.</w:t>
      </w:r>
    </w:p>
    <w:p>
      <w:pPr>
        <w:pStyle w:val="ListBullet"/>
        <w:spacing w:after="40"/>
        <w:ind w:left="198"/>
      </w:pPr>
      <w:r>
        <w:rPr>
          <w:rFonts w:ascii="Aptos" w:hAnsi="Aptos"/>
          <w:sz w:val="21"/>
        </w:rPr>
        <w:t>Nebenkosten-Reportansicht finalisieren; die bestehende Prüf- und Verteilungslogik nicht mehr grundsätzlich umbauen, sondern absichern.</w:t>
      </w:r>
    </w:p>
    <w:p>
      <w:pPr>
        <w:pStyle w:val="ListBullet"/>
        <w:spacing w:after="40"/>
        <w:ind w:left="198"/>
      </w:pPr>
      <w:r>
        <w:rPr>
          <w:rFonts w:ascii="Aptos" w:hAnsi="Aptos"/>
          <w:sz w:val="21"/>
        </w:rPr>
        <w:t>Stammdatenübergabe aus dem WEG-/Objektmodul in Nebenkosten vollständig herstellen.</w:t>
      </w:r>
    </w:p>
    <w:p>
      <w:pPr>
        <w:pStyle w:val="ListBullet"/>
        <w:spacing w:after="40"/>
        <w:ind w:left="198"/>
      </w:pPr>
      <w:r>
        <w:rPr>
          <w:rFonts w:ascii="Aptos" w:hAnsi="Aptos"/>
          <w:sz w:val="21"/>
        </w:rPr>
        <w:t>Erst danach API und DB-Persistenz für Nebenkosten aufsetzen und serverseitige Validierung spiegeln.</w:t>
      </w:r>
    </w:p>
    <w:p>
      <w:pPr>
        <w:pStyle w:val="ListBullet"/>
        <w:spacing w:after="40"/>
        <w:ind w:left="198"/>
      </w:pPr>
      <w:r>
        <w:rPr>
          <w:rFonts w:ascii="Aptos" w:hAnsi="Aptos"/>
          <w:sz w:val="21"/>
        </w:rPr>
        <w:t>Im Anschluss Relationen, Finance-Vorbereitung und Dashboard-Fehler-/Betriebsverhalten konsolidieren.</w:t>
      </w:r>
    </w:p>
    <w:p>
      <w:pPr>
        <w:spacing w:before="240" w:after="120"/>
      </w:pPr>
      <w:r>
        <w:rPr>
          <w:rFonts w:ascii="Aptos Display" w:hAnsi="Aptos Display"/>
          <w:b/>
          <w:color w:val="17324D"/>
          <w:sz w:val="28"/>
        </w:rPr>
        <w:t>6. Vorlage für künftige Statusupdates</w:t>
      </w:r>
    </w:p>
    <w:p>
      <w:r>
        <w:t>Diese Tabelle kann bei jedem neuen Stand fortgeschrieben werden. Empfohlen ist eine Zeile je Modul oder Teilstrang.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1EA"/>
          <w:left w:val="single" w:sz="8" w:space="0" w:color="D9E1EA"/>
          <w:bottom w:val="single" w:sz="8" w:space="0" w:color="D9E1EA"/>
          <w:right w:val="single" w:sz="8" w:space="0" w:color="D9E1EA"/>
          <w:insideH w:val="single" w:sz="8" w:space="0" w:color="D9E1EA"/>
          <w:insideV w:val="single" w:sz="8" w:space="0" w:color="D9E1EA"/>
        </w:tblBorders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Modul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Stand heute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Neuer Fortschritt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Blocker / Risiko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Nächster Schritt</w:t>
            </w:r>
          </w:p>
        </w:tc>
      </w:tr>
      <w:tr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/>
                <w:sz w:val="20"/>
              </w:rPr>
              <w:t>Objektmodul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</w:tr>
      <w:tr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/>
                <w:sz w:val="20"/>
              </w:rPr>
              <w:t>Documents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</w:tr>
      <w:tr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/>
                <w:sz w:val="20"/>
              </w:rPr>
              <w:t>Tenants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</w:tr>
      <w:tr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/>
                <w:sz w:val="20"/>
              </w:rPr>
              <w:t>Contracts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</w:tr>
      <w:tr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/>
                <w:sz w:val="20"/>
              </w:rPr>
              <w:t>Nebenkosten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6B7280"/>
                <w:sz w:val="20"/>
              </w:rPr>
              <w:t>...</w:t>
            </w:r>
          </w:p>
        </w:tc>
      </w:tr>
    </w:tbl>
    <w:p/>
    <w:sectPr w:rsidR="00FC693F" w:rsidRPr="0006063C" w:rsidSect="00034616"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