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ImmoLogik - Statusreport aktuell</w:t>
      </w:r>
    </w:p>
    <w:p>
      <w:pPr>
        <w:spacing w:after="240"/>
      </w:pPr>
      <w:r>
        <w:rPr>
          <w:color w:val="595959"/>
          <w:sz w:val="24"/>
        </w:rPr>
        <w:t>Fortschreibung des Statusreports auf Basis des Repository-Stands vom 13.05.2026.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680"/>
          </w:tcPr>
          <w:p>
            <w:r>
              <w:t>13.05.2026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b/>
              </w:rPr>
              <w:t>Projekt</w:t>
            </w:r>
          </w:p>
        </w:tc>
        <w:tc>
          <w:tcPr>
            <w:tcW w:type="dxa" w:w="4680"/>
          </w:tcPr>
          <w:p>
            <w:r>
              <w:t>ImmoLogik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Aktualisiert; alter Report in Teilen ueberholt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b/>
              </w:rPr>
              <w:t>Basis</w:t>
            </w:r>
          </w:p>
        </w:tc>
        <w:tc>
          <w:tcPr>
            <w:tcW w:type="dxa" w:w="4680"/>
          </w:tcPr>
          <w:p>
            <w:r>
              <w:t>Repository-Pruefung, Build, Tests, Prisma-Validierung und Docker-Status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Der bisherige Statusreport bleibt als historischer Zwischenstand nuetzlich, ist aber nicht mehr voll aktuell. Besonders der Nebenkosten-Strang hat sich seitdem weiterentwickelt: Es gibt inzwischen serverseitige Persistenz, Validierung und Freigabe-/Archivlogik im Backend sowie einen passenden Frontend-Service.</w:t>
      </w:r>
    </w:p>
    <w:p>
      <w:r>
        <w:t>Die technische Basis ist belastbar genug fuer weiteren Eigenbetriebs-Ausbau. Vor produktionsnaher Nutzung muessen jedoch Authentifizierung, Datenloeschlogik, Konfiguration und Versionsstand bereinigt werden.</w:t>
      </w:r>
    </w:p>
    <w:p>
      <w:pPr>
        <w:pStyle w:val="Heading1"/>
      </w:pPr>
      <w:r>
        <w:t>Aktueller Roadmap-Abgleich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Bereich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Aktueller Status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Faktenlage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Reife</w:t>
            </w:r>
          </w:p>
        </w:tc>
      </w:tr>
      <w:tr>
        <w:tc>
          <w:tcPr>
            <w:tcW w:type="dxa" w:w="2340"/>
          </w:tcPr>
          <w:p>
            <w:r>
              <w:t>Plattform / Admin-Grundgeruest</w:t>
            </w:r>
          </w:p>
        </w:tc>
        <w:tc>
          <w:tcPr>
            <w:tcW w:type="dxa" w:w="2340"/>
          </w:tcPr>
          <w:p>
            <w:r>
              <w:t>Stark</w:t>
            </w:r>
          </w:p>
        </w:tc>
        <w:tc>
          <w:tcPr>
            <w:tcW w:type="dxa" w:w="2340"/>
          </w:tcPr>
          <w:p>
            <w:r>
              <w:t>Monorepo, Root-Skripte, Next.js-Web, NestJS-API, Prisma, Docker-Compose, Swagger und Tests sind vorhanden. Build und Tests laufen erfolgreich.</w:t>
            </w:r>
          </w:p>
        </w:tc>
        <w:tc>
          <w:tcPr>
            <w:tcW w:type="dxa" w:w="2340"/>
          </w:tcPr>
          <w:p>
            <w:r>
              <w:t>Stark</w:t>
            </w:r>
          </w:p>
        </w:tc>
      </w:tr>
      <w:tr>
        <w:tc>
          <w:tcPr>
            <w:tcW w:type="dxa" w:w="2340"/>
          </w:tcPr>
          <w:p>
            <w:r>
              <w:t>Objektmodul</w:t>
            </w:r>
          </w:p>
        </w:tc>
        <w:tc>
          <w:tcPr>
            <w:tcW w:type="dxa" w:w="2340"/>
          </w:tcPr>
          <w:p>
            <w:r>
              <w:t>Mittel bis stark</w:t>
            </w:r>
          </w:p>
        </w:tc>
        <w:tc>
          <w:tcPr>
            <w:tcW w:type="dxa" w:w="2340"/>
          </w:tcPr>
          <w:p>
            <w:r>
              <w:t>Objekte sind Primäranker fuer Dashboard, Dokumente, Einheiten, Mieter, Verträge, Zähler und Nebenkosten. Display-ID wird erzeugt und genutzt.</w:t>
            </w:r>
          </w:p>
        </w:tc>
        <w:tc>
          <w:tcPr>
            <w:tcW w:type="dxa" w:w="2340"/>
          </w:tcPr>
          <w:p>
            <w:r>
              <w:t>Mittel+</w:t>
            </w:r>
          </w:p>
        </w:tc>
      </w:tr>
      <w:tr>
        <w:tc>
          <w:tcPr>
            <w:tcW w:type="dxa" w:w="2340"/>
          </w:tcPr>
          <w:p>
            <w:r>
              <w:t>Sichtbare Objekt-ID</w:t>
            </w:r>
          </w:p>
        </w:tc>
        <w:tc>
          <w:tcPr>
            <w:tcW w:type="dxa" w:w="2340"/>
          </w:tcPr>
          <w:p>
            <w:r>
              <w:t>Mittel bis stark</w:t>
            </w:r>
          </w:p>
        </w:tc>
        <w:tc>
          <w:tcPr>
            <w:tcW w:type="dxa" w:w="2340"/>
          </w:tcPr>
          <w:p>
            <w:r>
              <w:t>WEG-Display-ID ist im Schema und Service verankert. End-to-end-Nutzung in allen Folgeprozessen sollte noch fachlich geprueft werden.</w:t>
            </w:r>
          </w:p>
        </w:tc>
        <w:tc>
          <w:tcPr>
            <w:tcW w:type="dxa" w:w="2340"/>
          </w:tcPr>
          <w:p>
            <w:r>
              <w:t>Mittel+</w:t>
            </w:r>
          </w:p>
        </w:tc>
      </w:tr>
      <w:tr>
        <w:tc>
          <w:tcPr>
            <w:tcW w:type="dxa" w:w="2340"/>
          </w:tcPr>
          <w:p>
            <w:r>
              <w:t>Documents</w:t>
            </w:r>
          </w:p>
        </w:tc>
        <w:tc>
          <w:tcPr>
            <w:tcW w:type="dxa" w:w="2340"/>
          </w:tcPr>
          <w:p>
            <w:r>
              <w:t>Stark im Aufbau</w:t>
            </w:r>
          </w:p>
        </w:tc>
        <w:tc>
          <w:tcPr>
            <w:tcW w:type="dxa" w:w="2340"/>
          </w:tcPr>
          <w:p>
            <w:r>
              <w:t>Upload, fehlende Dokumente, Zuordnung, Download, Storage-Status, Inventar-Export und Dateisystem/MinIO-Pfad sind implementiert.</w:t>
            </w:r>
          </w:p>
        </w:tc>
        <w:tc>
          <w:tcPr>
            <w:tcW w:type="dxa" w:w="2340"/>
          </w:tcPr>
          <w:p>
            <w:r>
              <w:t>Stark-</w:t>
            </w:r>
          </w:p>
        </w:tc>
      </w:tr>
      <w:tr>
        <w:tc>
          <w:tcPr>
            <w:tcW w:type="dxa" w:w="2340"/>
          </w:tcPr>
          <w:p>
            <w:r>
              <w:t>Mieter / Tenants</w:t>
            </w:r>
          </w:p>
        </w:tc>
        <w:tc>
          <w:tcPr>
            <w:tcW w:type="dxa" w:w="2340"/>
          </w:tcPr>
          <w:p>
            <w:r>
              <w:t>Mittel</w:t>
            </w:r>
          </w:p>
        </w:tc>
        <w:tc>
          <w:tcPr>
            <w:tcW w:type="dxa" w:w="2340"/>
          </w:tcPr>
          <w:p>
            <w:r>
              <w:t>Mieterpfad ist relational vorhanden. Begriffswelt Tenant/User vs. Mieter bleibt fachlich zu trennen.</w:t>
            </w:r>
          </w:p>
        </w:tc>
        <w:tc>
          <w:tcPr>
            <w:tcW w:type="dxa" w:w="2340"/>
          </w:tcPr>
          <w:p>
            <w:r>
              <w:t>Mittel</w:t>
            </w:r>
          </w:p>
        </w:tc>
      </w:tr>
      <w:tr>
        <w:tc>
          <w:tcPr>
            <w:tcW w:type="dxa" w:w="2340"/>
          </w:tcPr>
          <w:p>
            <w:r>
              <w:t>Contracts / Relationen</w:t>
            </w:r>
          </w:p>
        </w:tc>
        <w:tc>
          <w:tcPr>
            <w:tcW w:type="dxa" w:w="2340"/>
          </w:tcPr>
          <w:p>
            <w:r>
              <w:t>Mittel</w:t>
            </w:r>
          </w:p>
        </w:tc>
        <w:tc>
          <w:tcPr>
            <w:tcW w:type="dxa" w:w="2340"/>
          </w:tcPr>
          <w:p>
            <w:r>
              <w:t>Verträge sind mit Objekt, Mieter und optional Einheit verbunden. Fachliche End-to-end-Prozesse sind begonnen, aber noch nicht rund.</w:t>
            </w:r>
          </w:p>
        </w:tc>
        <w:tc>
          <w:tcPr>
            <w:tcW w:type="dxa" w:w="2340"/>
          </w:tcPr>
          <w:p>
            <w:r>
              <w:t>Mittel</w:t>
            </w:r>
          </w:p>
        </w:tc>
      </w:tr>
      <w:tr>
        <w:tc>
          <w:tcPr>
            <w:tcW w:type="dxa" w:w="2340"/>
          </w:tcPr>
          <w:p>
            <w:r>
              <w:t>Nebenkosten</w:t>
            </w:r>
          </w:p>
        </w:tc>
        <w:tc>
          <w:tcPr>
            <w:tcW w:type="dxa" w:w="2340"/>
          </w:tcPr>
          <w:p>
            <w:r>
              <w:t>Deutlich weiter als alter Report</w:t>
            </w:r>
          </w:p>
        </w:tc>
        <w:tc>
          <w:tcPr>
            <w:tcW w:type="dxa" w:w="2340"/>
          </w:tcPr>
          <w:p>
            <w:r>
              <w:t>UtilityStatement-Modell, API, Workspace-Sync, Validierung, Freigabe und Frontend-Service sind vorhanden. Alte Aussage 'keine API/DB-Persistenz' ist ueberholt.</w:t>
            </w:r>
          </w:p>
        </w:tc>
        <w:tc>
          <w:tcPr>
            <w:tcW w:type="dxa" w:w="2340"/>
          </w:tcPr>
          <w:p>
            <w:r>
              <w:t>Mittel+</w:t>
            </w:r>
          </w:p>
        </w:tc>
      </w:tr>
      <w:tr>
        <w:tc>
          <w:tcPr>
            <w:tcW w:type="dxa" w:w="2340"/>
          </w:tcPr>
          <w:p>
            <w:r>
              <w:t>Zählerablesung</w:t>
            </w:r>
          </w:p>
        </w:tc>
        <w:tc>
          <w:tcPr>
            <w:tcW w:type="dxa" w:w="2340"/>
          </w:tcPr>
          <w:p>
            <w:r>
              <w:t>Neu sichtbar</w:t>
            </w:r>
          </w:p>
        </w:tc>
        <w:tc>
          <w:tcPr>
            <w:tcW w:type="dxa" w:w="2340"/>
          </w:tcPr>
          <w:p>
            <w:r>
              <w:t>Kampagnen, Token-Zugänge, Standardzaehler und oeffentliche Ablese-Endpunkte sind implementiert.</w:t>
            </w:r>
          </w:p>
        </w:tc>
        <w:tc>
          <w:tcPr>
            <w:tcW w:type="dxa" w:w="2340"/>
          </w:tcPr>
          <w:p>
            <w:r>
              <w:t>Mittel</w:t>
            </w:r>
          </w:p>
        </w:tc>
      </w:tr>
      <w:tr>
        <w:tc>
          <w:tcPr>
            <w:tcW w:type="dxa" w:w="2340"/>
          </w:tcPr>
          <w:p>
            <w:r>
              <w:t>Auth / Betrieb</w:t>
            </w:r>
          </w:p>
        </w:tc>
        <w:tc>
          <w:tcPr>
            <w:tcW w:type="dxa" w:w="2340"/>
          </w:tcPr>
          <w:p>
            <w:r>
              <w:t>Nicht produktionsreif</w:t>
            </w:r>
          </w:p>
        </w:tc>
        <w:tc>
          <w:tcPr>
            <w:tcW w:type="dxa" w:w="2340"/>
          </w:tcPr>
          <w:p>
            <w:r>
              <w:t>Dev-Auth ist bewusst erlaubt; Entra-Modus blockiert ohne echte JWT-Validierung. Produktionsschutz ist damit noch offen.</w:t>
            </w:r>
          </w:p>
        </w:tc>
        <w:tc>
          <w:tcPr>
            <w:tcW w:type="dxa" w:w="2340"/>
          </w:tcPr>
          <w:p>
            <w:r>
              <w:t>Offen</w:t>
            </w:r>
          </w:p>
        </w:tc>
      </w:tr>
    </w:tbl>
    <w:p/>
    <w:p>
      <w:pPr>
        <w:pStyle w:val="Heading1"/>
      </w:pPr>
      <w:r>
        <w:t>Korrektur des alten Statusreports</w:t>
      </w:r>
    </w:p>
    <w:p>
      <w:pPr>
        <w:pStyle w:val="ListBullet"/>
        <w:spacing w:after="80"/>
      </w:pPr>
      <w:r>
        <w:t>Die Aussage, dass Nebenkosten noch keine API-/DB-Persistenz habe, ist fuer den heutigen Stand falsch.</w:t>
      </w:r>
    </w:p>
    <w:p>
      <w:pPr>
        <w:pStyle w:val="ListBullet"/>
        <w:spacing w:after="80"/>
      </w:pPr>
      <w:r>
        <w:t>Documents ist weiter als 'Mittel': Der technische Workflow ist breit implementiert, auch wenn operative Detailprozesse noch fehlen.</w:t>
      </w:r>
    </w:p>
    <w:p>
      <w:pPr>
        <w:pStyle w:val="ListBullet"/>
        <w:spacing w:after="80"/>
      </w:pPr>
      <w:r>
        <w:t>Der neue Zählerablesungsstrang fehlt im alten Report weitgehend und sollte als eigener Block fortgeschrieben werden.</w:t>
      </w:r>
    </w:p>
    <w:p>
      <w:pPr>
        <w:pStyle w:val="ListBullet"/>
        <w:spacing w:after="80"/>
      </w:pPr>
      <w:r>
        <w:t>Die Betriebseinschaetzung muss geschaerft werden: lokaler Eigenbetrieb ist realistisch, produktionsnahe Auth und Konfiguration sind aber offen.</w:t>
      </w:r>
    </w:p>
    <w:p>
      <w:pPr>
        <w:pStyle w:val="Heading1"/>
      </w:pPr>
      <w:r>
        <w:t>Aktuelle Risiken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Thema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Bewertung</w:t>
            </w:r>
          </w:p>
        </w:tc>
      </w:tr>
      <w:tr>
        <w:tc>
          <w:tcPr>
            <w:tcW w:type="dxa" w:w="3120"/>
          </w:tcPr>
          <w:p>
            <w:r>
              <w:t>Auth</w:t>
            </w:r>
          </w:p>
        </w:tc>
        <w:tc>
          <w:tcPr>
            <w:tcW w:type="dxa" w:w="3120"/>
          </w:tcPr>
          <w:p>
            <w:r>
              <w:t>Entra-JWT-Validierung ist nicht implementiert; im Produktionsmodus mit Entra wird Zugriff abgelehnt.</w:t>
            </w:r>
          </w:p>
        </w:tc>
        <w:tc>
          <w:tcPr>
            <w:tcW w:type="dxa" w:w="3120"/>
          </w:tcPr>
          <w:p>
            <w:r>
              <w:t>Prioritaet 1</w:t>
            </w:r>
          </w:p>
        </w:tc>
      </w:tr>
      <w:tr>
        <w:tc>
          <w:tcPr>
            <w:tcW w:type="dxa" w:w="3120"/>
          </w:tcPr>
          <w:p>
            <w:r>
              <w:t>Nebenkosten-Sync</w:t>
            </w:r>
          </w:p>
        </w:tc>
        <w:tc>
          <w:tcPr>
            <w:tcW w:type="dxa" w:w="3120"/>
          </w:tcPr>
          <w:p>
            <w:r>
              <w:t>Workspace-Sync kann global Utility Statements loeschen, wenn sie nicht im Payload enthalten sind.</w:t>
            </w:r>
          </w:p>
        </w:tc>
        <w:tc>
          <w:tcPr>
            <w:tcW w:type="dxa" w:w="3120"/>
          </w:tcPr>
          <w:p>
            <w:r>
              <w:t>Prioritaet 1</w:t>
            </w:r>
          </w:p>
        </w:tc>
      </w:tr>
      <w:tr>
        <w:tc>
          <w:tcPr>
            <w:tcW w:type="dxa" w:w="3120"/>
          </w:tcPr>
          <w:p>
            <w:r>
              <w:t>Konfiguration</w:t>
            </w:r>
          </w:p>
        </w:tc>
        <w:tc>
          <w:tcPr>
            <w:tcW w:type="dxa" w:w="3120"/>
          </w:tcPr>
          <w:p>
            <w:r>
              <w:t>Portangaben und Lockfiles sind inkonsistent; das kann Build-/Dev-Verhalten und Onboarding stoeren.</w:t>
            </w:r>
          </w:p>
        </w:tc>
        <w:tc>
          <w:tcPr>
            <w:tcW w:type="dxa" w:w="3120"/>
          </w:tcPr>
          <w:p>
            <w:r>
              <w:t>Prioritaet 2</w:t>
            </w:r>
          </w:p>
        </w:tc>
      </w:tr>
      <w:tr>
        <w:tc>
          <w:tcPr>
            <w:tcW w:type="dxa" w:w="3120"/>
          </w:tcPr>
          <w:p>
            <w:r>
              <w:t>Dashboard</w:t>
            </w:r>
          </w:p>
        </w:tc>
        <w:tc>
          <w:tcPr>
            <w:tcW w:type="dxa" w:w="3120"/>
          </w:tcPr>
          <w:p>
            <w:r>
              <w:t>Fehler beim Laden werden teilweise als leere Daten dargestellt. Das ist robust, kann aber echte Stoerungen verstecken.</w:t>
            </w:r>
          </w:p>
        </w:tc>
        <w:tc>
          <w:tcPr>
            <w:tcW w:type="dxa" w:w="3120"/>
          </w:tcPr>
          <w:p>
            <w:r>
              <w:t>Prioritaet 2</w:t>
            </w:r>
          </w:p>
        </w:tc>
      </w:tr>
      <w:tr>
        <w:tc>
          <w:tcPr>
            <w:tcW w:type="dxa" w:w="3120"/>
          </w:tcPr>
          <w:p>
            <w:r>
              <w:t>Git / Artefakte</w:t>
            </w:r>
          </w:p>
        </w:tc>
        <w:tc>
          <w:tcPr>
            <w:tcW w:type="dxa" w:w="3120"/>
          </w:tcPr>
          <w:p>
            <w:r>
              <w:t>Sehr grosser nicht bereinigter Arbeitsstand mit vielen unversionierten Dateien.</w:t>
            </w:r>
          </w:p>
        </w:tc>
        <w:tc>
          <w:tcPr>
            <w:tcW w:type="dxa" w:w="3120"/>
          </w:tcPr>
          <w:p>
            <w:r>
              <w:t>Prioritaet 1</w:t>
            </w:r>
          </w:p>
        </w:tc>
      </w:tr>
    </w:tbl>
    <w:p/>
    <w:p>
      <w:pPr>
        <w:pStyle w:val="Heading1"/>
      </w:pPr>
      <w:r>
        <w:t>Empfohlene Umsetzungsreihenfolge ab 13.05.2026</w:t>
      </w:r>
    </w:p>
    <w:p>
      <w:pPr>
        <w:pStyle w:val="ListBullet"/>
        <w:spacing w:after="80"/>
      </w:pPr>
      <w:r>
        <w:t>Arbeitsstand sichern: Review, Commit-Struktur, unnoetige Artefakte und doppelte Lockfiles bereinigen.</w:t>
      </w:r>
    </w:p>
    <w:p>
      <w:pPr>
        <w:pStyle w:val="ListBullet"/>
        <w:spacing w:after="80"/>
      </w:pPr>
      <w:r>
        <w:t>Konfiguration konsolidieren: Ports, .env.example, README und lokale Startskripte angleichen.</w:t>
      </w:r>
    </w:p>
    <w:p>
      <w:pPr>
        <w:pStyle w:val="ListBullet"/>
        <w:spacing w:after="80"/>
      </w:pPr>
      <w:r>
        <w:t>Nebenkosten-Sync absichern: nicht global loeschen, sondern Scope nach Objekt, Benutzer oder Workspace definieren.</w:t>
      </w:r>
    </w:p>
    <w:p>
      <w:pPr>
        <w:pStyle w:val="ListBullet"/>
        <w:spacing w:after="80"/>
      </w:pPr>
      <w:r>
        <w:t>Auth-Strategie entscheiden und umsetzen: Eigenbetrieb mit klarer Dev-Grenze oder echte Entra-JWT-Pruefung.</w:t>
      </w:r>
    </w:p>
    <w:p>
      <w:pPr>
        <w:pStyle w:val="ListBullet"/>
        <w:spacing w:after="80"/>
      </w:pPr>
      <w:r>
        <w:t>Dashboard-Fehler sichtbar machen, ohne die Bedienbarkeit zu verlieren.</w:t>
      </w:r>
    </w:p>
    <w:p>
      <w:pPr>
        <w:pStyle w:val="ListBullet"/>
        <w:spacing w:after="80"/>
      </w:pPr>
      <w:r>
        <w:t>Danach fachliche Abrundung: Report-Export, Dokumentenfreigabe, Relationstests und Zählerablesungsprozess.</w:t>
      </w:r>
    </w:p>
    <w:p>
      <w:pPr>
        <w:pStyle w:val="Heading1"/>
      </w:pPr>
      <w:r>
        <w:t>Aktualisierte Gesamteinschaetzung</w:t>
      </w:r>
    </w:p>
    <w:p>
      <w:r>
        <w:rPr>
          <w:b/>
          <w:color w:val="1F4D78"/>
        </w:rPr>
        <w:t xml:space="preserve">Reifegrad: </w:t>
      </w:r>
      <w:r>
        <w:t>wachsender Eigenbetriebs-MVP mit echten Datenpfaden. Fuer produktionsnahe Nutzung fehlen vor allem Auth-Haertung, Sync-Sicherheit, Konfigurationsklarheit und ein sauberer Versionsstand.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