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EBB" w:rsidRPr="00DB1793" w:rsidRDefault="00ED37A6" w:rsidP="004F1EBB">
      <w:pPr>
        <w:pStyle w:val="NoSpacing"/>
        <w:jc w:val="both"/>
        <w:rPr>
          <w:rFonts w:ascii="Palatino Linotype" w:hAnsi="Palatino Linotype"/>
          <w:b/>
          <w:bCs/>
          <w:sz w:val="24"/>
          <w:szCs w:val="24"/>
        </w:rPr>
      </w:pPr>
      <w:hyperlink r:id="rId4" w:history="1">
        <w:r w:rsidR="004F1EBB" w:rsidRPr="00ED37A6">
          <w:rPr>
            <w:rStyle w:val="Hyperlink"/>
            <w:rFonts w:ascii="Palatino Linotype" w:hAnsi="Palatino Linotype"/>
            <w:b/>
            <w:bCs/>
            <w:sz w:val="24"/>
            <w:szCs w:val="24"/>
          </w:rPr>
          <w:t>Services</w:t>
        </w:r>
      </w:hyperlink>
    </w:p>
    <w:p w:rsidR="004F1EBB" w:rsidRPr="00DB1793" w:rsidRDefault="004F1EBB" w:rsidP="004F1EBB">
      <w:pPr>
        <w:pStyle w:val="NoSpacing"/>
        <w:jc w:val="both"/>
        <w:rPr>
          <w:rFonts w:ascii="Palatino Linotype" w:hAnsi="Palatino Linotype"/>
          <w:sz w:val="24"/>
          <w:szCs w:val="24"/>
        </w:rPr>
      </w:pPr>
      <w:r w:rsidRPr="00DB1793">
        <w:rPr>
          <w:rFonts w:ascii="Palatino Linotype" w:hAnsi="Palatino Linotype"/>
          <w:sz w:val="24"/>
          <w:szCs w:val="24"/>
        </w:rPr>
        <w:t>Contact Us</w:t>
      </w:r>
    </w:p>
    <w:p w:rsidR="004F1EBB" w:rsidRPr="00DB1793" w:rsidRDefault="00AA4023" w:rsidP="004F1EBB">
      <w:pPr>
        <w:pStyle w:val="NoSpacing"/>
        <w:jc w:val="both"/>
        <w:rPr>
          <w:rFonts w:ascii="Palatino Linotype" w:hAnsi="Palatino Linotype"/>
          <w:sz w:val="24"/>
          <w:szCs w:val="24"/>
        </w:rPr>
      </w:pPr>
      <w:hyperlink r:id="rId5" w:history="1">
        <w:r w:rsidR="004F1EBB" w:rsidRPr="003D07B0">
          <w:rPr>
            <w:rStyle w:val="Hyperlink"/>
            <w:rFonts w:ascii="Palatino Linotype" w:hAnsi="Palatino Linotype"/>
            <w:sz w:val="24"/>
            <w:szCs w:val="24"/>
          </w:rPr>
          <w:t>Asse</w:t>
        </w:r>
        <w:r w:rsidR="004F1EBB" w:rsidRPr="003D07B0">
          <w:rPr>
            <w:rStyle w:val="Hyperlink"/>
            <w:rFonts w:ascii="Palatino Linotype" w:hAnsi="Palatino Linotype"/>
            <w:sz w:val="24"/>
            <w:szCs w:val="24"/>
          </w:rPr>
          <w:t>ss Fees</w:t>
        </w:r>
      </w:hyperlink>
    </w:p>
    <w:p w:rsidR="004F1EBB" w:rsidRPr="00DB1793" w:rsidRDefault="004F1EBB" w:rsidP="004F1EBB">
      <w:pPr>
        <w:pStyle w:val="NoSpacing"/>
        <w:jc w:val="both"/>
        <w:rPr>
          <w:rFonts w:ascii="Palatino Linotype" w:hAnsi="Palatino Linotype"/>
          <w:sz w:val="24"/>
          <w:szCs w:val="24"/>
        </w:rPr>
      </w:pPr>
      <w:r w:rsidRPr="00DB1793">
        <w:rPr>
          <w:rFonts w:ascii="Palatino Linotype" w:hAnsi="Palatino Linotype"/>
          <w:b/>
          <w:bCs/>
          <w:sz w:val="24"/>
          <w:szCs w:val="24"/>
        </w:rPr>
        <w:t>Services</w:t>
      </w:r>
    </w:p>
    <w:tbl>
      <w:tblPr>
        <w:tblW w:w="9627" w:type="dxa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993"/>
      </w:tblGrid>
      <w:tr w:rsidR="004F1EBB" w:rsidRPr="00DB1793" w:rsidTr="00ED37A6">
        <w:trPr>
          <w:trHeight w:val="593"/>
          <w:tblHeader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Charges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Data Update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sz w:val="20"/>
                <w:szCs w:val="20"/>
              </w:rPr>
              <w:t>Free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Business Registration 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USD.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Search Fees 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USD.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Certification a Business Name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 xml:space="preserve"> 35,000</w:t>
            </w:r>
          </w:p>
        </w:tc>
      </w:tr>
      <w:tr w:rsidR="004F1EBB" w:rsidRPr="00DB1793" w:rsidTr="00ED37A6">
        <w:trPr>
          <w:trHeight w:val="177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Certification fees for a Certificate of Registration 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USD.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Cancellation of an Entry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Change of Address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Rectification 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3D07B0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  <w:r w:rsidR="004F1EBB">
              <w:rPr>
                <w:rFonts w:ascii="Palatino Linotype" w:hAnsi="Palatino Linotype"/>
                <w:sz w:val="20"/>
                <w:szCs w:val="20"/>
              </w:rPr>
              <w:t>. 35</w:t>
            </w:r>
            <w:r w:rsidR="004F1EBB"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 w:rsidR="004F1EBB">
              <w:rPr>
                <w:rFonts w:ascii="Palatino Linotype" w:hAnsi="Palatino Linotype"/>
                <w:sz w:val="20"/>
                <w:szCs w:val="20"/>
              </w:rPr>
              <w:t>.</w:t>
            </w:r>
            <w:r w:rsidR="004F1EBB"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Cessation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3D07B0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  <w:r w:rsidR="004F1EBB">
              <w:rPr>
                <w:rFonts w:ascii="Palatino Linotype" w:hAnsi="Palatino Linotype"/>
                <w:sz w:val="20"/>
                <w:szCs w:val="20"/>
              </w:rPr>
              <w:t>. 35</w:t>
            </w:r>
            <w:r w:rsidR="004F1EBB"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 w:rsidR="004F1EBB">
              <w:rPr>
                <w:rFonts w:ascii="Palatino Linotype" w:hAnsi="Palatino Linotype"/>
                <w:sz w:val="20"/>
                <w:szCs w:val="20"/>
              </w:rPr>
              <w:t>.</w:t>
            </w:r>
            <w:r w:rsidR="004F1EBB"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Stamp Duty (Variable)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sz w:val="20"/>
                <w:szCs w:val="20"/>
              </w:rPr>
              <w:t>0.5% of Share Capital above 5m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Company Limited by Guarantee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USD.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519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annual returns of a Company Limited by Guarantee including a copy of a Balance Sheet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USD.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Certified Memorandum of Equivalent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sz w:val="20"/>
                <w:szCs w:val="20"/>
              </w:rPr>
              <w:t>USD. 350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documents (Forms)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USD. 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Certification fees 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USD. 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a mortgage/Charge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Series of Debentures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Inspection 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 700.0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Receiver or Manager of Property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Company Resolution fees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USD.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Forms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 35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transfer of shares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sz w:val="20"/>
                <w:szCs w:val="20"/>
              </w:rPr>
              <w:t>1.5% of the amount being transferred</w:t>
            </w:r>
          </w:p>
        </w:tc>
      </w:tr>
      <w:tr w:rsidR="004F1EBB" w:rsidRPr="00DB1793" w:rsidTr="00ED37A6">
        <w:trPr>
          <w:trHeight w:val="335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transfer forms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Annual Returns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</w:p>
        </w:tc>
      </w:tr>
      <w:tr w:rsidR="004F1EBB" w:rsidRPr="00DB1793" w:rsidTr="00ED37A6">
        <w:trPr>
          <w:trHeight w:val="380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Powers of Attorney, Deeds, Constitution, Agreements, Affidavits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for Affidavits and Statutory Declaration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Search fees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Company Documents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</w:t>
            </w:r>
          </w:p>
        </w:tc>
      </w:tr>
      <w:tr w:rsidR="004F1EBB" w:rsidRPr="00DB1793" w:rsidTr="00ED37A6">
        <w:trPr>
          <w:trHeight w:val="266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fees for Insolvency Practitioners</w:t>
            </w:r>
          </w:p>
        </w:tc>
        <w:tc>
          <w:tcPr>
            <w:tcW w:w="4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6F6F6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USD.</w:t>
            </w:r>
            <w:r w:rsidRPr="00DB179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w:rsidR="004F1EBB" w:rsidRPr="00DB1793" w:rsidTr="00ED37A6">
        <w:trPr>
          <w:trHeight w:val="251"/>
        </w:trPr>
        <w:tc>
          <w:tcPr>
            <w:tcW w:w="46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B1793">
              <w:rPr>
                <w:rFonts w:ascii="Palatino Linotype" w:hAnsi="Palatino Linotype"/>
                <w:b/>
                <w:bCs/>
                <w:sz w:val="20"/>
                <w:szCs w:val="20"/>
              </w:rPr>
              <w:t>Fees for filing Annual Returns for an Insolvency Practitioner</w:t>
            </w:r>
          </w:p>
        </w:tc>
        <w:tc>
          <w:tcPr>
            <w:tcW w:w="4993" w:type="dxa"/>
            <w:vAlign w:val="center"/>
            <w:hideMark/>
          </w:tcPr>
          <w:p w:rsidR="004F1EBB" w:rsidRPr="00DB1793" w:rsidRDefault="004F1EBB" w:rsidP="004F1EBB">
            <w:pPr>
              <w:pStyle w:val="NoSpacing"/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4F1EBB" w:rsidRDefault="004F1EBB" w:rsidP="004F1EBB">
      <w:pPr>
        <w:rPr>
          <w:rFonts w:ascii="Palatino Linotype" w:hAnsi="Palatino Linotype"/>
          <w:b/>
          <w:bCs/>
        </w:rPr>
      </w:pPr>
    </w:p>
    <w:p w:rsidR="004F1EBB" w:rsidRPr="003D07B0" w:rsidRDefault="004F1EBB" w:rsidP="00ED37A6">
      <w:pPr>
        <w:rPr>
          <w:rStyle w:val="Hyperlink"/>
          <w:rFonts w:ascii="Palatino Linotype" w:hAnsi="Palatino Linotype"/>
          <w:b/>
          <w:bCs/>
          <w:color w:val="auto"/>
          <w:sz w:val="24"/>
          <w:szCs w:val="24"/>
          <w:u w:val="none"/>
        </w:rPr>
      </w:pPr>
      <w:r w:rsidRPr="003D07B0">
        <w:rPr>
          <w:rFonts w:ascii="Palatino Linotype" w:hAnsi="Palatino Linotype"/>
          <w:b/>
          <w:bCs/>
          <w:sz w:val="24"/>
          <w:szCs w:val="24"/>
        </w:rPr>
        <w:fldChar w:fldCharType="begin"/>
      </w:r>
      <w:r w:rsidRPr="003D07B0">
        <w:rPr>
          <w:rFonts w:ascii="Palatino Linotype" w:hAnsi="Palatino Linotype"/>
          <w:b/>
          <w:bCs/>
          <w:sz w:val="24"/>
          <w:szCs w:val="24"/>
        </w:rPr>
        <w:instrText xml:space="preserve"> HYPERLINK "https://pay.google.com/gp/p/ui/pay" \l "request=441620911" </w:instrText>
      </w:r>
      <w:r w:rsidRPr="003D07B0">
        <w:rPr>
          <w:rFonts w:ascii="Palatino Linotype" w:hAnsi="Palatino Linotype"/>
          <w:b/>
          <w:bCs/>
          <w:sz w:val="24"/>
          <w:szCs w:val="24"/>
        </w:rPr>
        <w:fldChar w:fldCharType="separate"/>
      </w:r>
      <w:r w:rsidRPr="003D07B0">
        <w:rPr>
          <w:rStyle w:val="Hyperlink"/>
          <w:rFonts w:ascii="Palatino Linotype" w:hAnsi="Palatino Linotype"/>
          <w:b/>
          <w:bCs/>
          <w:color w:val="auto"/>
          <w:sz w:val="24"/>
          <w:szCs w:val="24"/>
          <w:u w:val="none"/>
        </w:rPr>
        <w:t>Mobile Money Finance Card</w:t>
      </w:r>
    </w:p>
    <w:p w:rsidR="004F1EBB" w:rsidRPr="003D07B0" w:rsidRDefault="004F1EBB" w:rsidP="00ED37A6">
      <w:pPr>
        <w:rPr>
          <w:rStyle w:val="Hyperlink"/>
          <w:rFonts w:ascii="Palatino Linotype" w:hAnsi="Palatino Linotype"/>
          <w:sz w:val="24"/>
          <w:szCs w:val="24"/>
          <w:u w:val="none"/>
        </w:rPr>
      </w:pPr>
      <w:r w:rsidRPr="003D07B0">
        <w:rPr>
          <w:rStyle w:val="Hyperlink"/>
          <w:rFonts w:ascii="Palatino Linotype" w:hAnsi="Palatino Linotype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6" o:title=""/>
          </v:shape>
          <w:control r:id="rId7" w:name="DefaultOcxName" w:shapeid="_x0000_i1034"/>
        </w:object>
      </w:r>
      <w:r w:rsidRPr="003D07B0">
        <w:rPr>
          <w:rStyle w:val="Hyperlink"/>
          <w:rFonts w:ascii="Palatino Linotype" w:hAnsi="Palatino Linotype"/>
          <w:sz w:val="24"/>
          <w:szCs w:val="24"/>
          <w:u w:val="none"/>
        </w:rPr>
        <w:t>Business: </w:t>
      </w:r>
      <w:r w:rsidRPr="003D07B0">
        <w:rPr>
          <w:rStyle w:val="Hyperlink"/>
          <w:rFonts w:ascii="Palatino Linotype" w:hAnsi="Palatino Linotype"/>
          <w:b/>
          <w:bCs/>
          <w:sz w:val="24"/>
          <w:szCs w:val="24"/>
          <w:u w:val="none"/>
        </w:rPr>
        <w:t>$350.00</w:t>
      </w:r>
    </w:p>
    <w:p w:rsidR="004F1EBB" w:rsidRPr="003D07B0" w:rsidRDefault="004F1EBB" w:rsidP="00ED37A6">
      <w:pPr>
        <w:rPr>
          <w:rStyle w:val="Hyperlink"/>
          <w:rFonts w:ascii="Palatino Linotype" w:hAnsi="Palatino Linotype"/>
          <w:sz w:val="24"/>
          <w:szCs w:val="24"/>
          <w:u w:val="none"/>
        </w:rPr>
      </w:pPr>
      <w:r w:rsidRPr="003D07B0">
        <w:rPr>
          <w:rStyle w:val="Hyperlink"/>
          <w:rFonts w:ascii="Palatino Linotype" w:hAnsi="Palatino Linotype"/>
          <w:sz w:val="24"/>
          <w:szCs w:val="24"/>
        </w:rPr>
        <w:object w:dxaOrig="1440" w:dyaOrig="1440">
          <v:shape id="_x0000_i1037" type="#_x0000_t75" style="width:20.25pt;height:18pt" o:ole="">
            <v:imagedata r:id="rId6" o:title=""/>
          </v:shape>
          <w:control r:id="rId8" w:name="DefaultOcxName1" w:shapeid="_x0000_i1037"/>
        </w:object>
      </w:r>
      <w:r w:rsidRPr="003D07B0">
        <w:rPr>
          <w:rStyle w:val="Hyperlink"/>
          <w:rFonts w:ascii="Palatino Linotype" w:hAnsi="Palatino Linotype"/>
          <w:sz w:val="24"/>
          <w:szCs w:val="24"/>
          <w:u w:val="none"/>
        </w:rPr>
        <w:t>Finance: </w:t>
      </w:r>
      <w:r w:rsidRPr="003D07B0">
        <w:rPr>
          <w:rStyle w:val="Hyperlink"/>
          <w:rFonts w:ascii="Palatino Linotype" w:hAnsi="Palatino Linotype"/>
          <w:b/>
          <w:bCs/>
          <w:sz w:val="24"/>
          <w:szCs w:val="24"/>
          <w:u w:val="none"/>
        </w:rPr>
        <w:t>$700.00</w:t>
      </w:r>
    </w:p>
    <w:p w:rsidR="004F1EBB" w:rsidRPr="003D07B0" w:rsidRDefault="004F1EBB" w:rsidP="00ED37A6">
      <w:pPr>
        <w:rPr>
          <w:rStyle w:val="Hyperlink"/>
          <w:rFonts w:ascii="Palatino Linotype" w:hAnsi="Palatino Linotype"/>
          <w:sz w:val="24"/>
          <w:szCs w:val="24"/>
          <w:u w:val="none"/>
        </w:rPr>
      </w:pPr>
      <w:r w:rsidRPr="003D07B0">
        <w:rPr>
          <w:rStyle w:val="Hyperlink"/>
          <w:rFonts w:ascii="Palatino Linotype" w:hAnsi="Palatino Linotype"/>
          <w:sz w:val="24"/>
          <w:szCs w:val="24"/>
        </w:rPr>
        <w:object w:dxaOrig="1440" w:dyaOrig="1440">
          <v:shape id="_x0000_i1040" type="#_x0000_t75" style="width:20.25pt;height:18pt" o:ole="">
            <v:imagedata r:id="rId6" o:title=""/>
          </v:shape>
          <w:control r:id="rId9" w:name="DefaultOcxName2" w:shapeid="_x0000_i1040"/>
        </w:object>
      </w:r>
      <w:r w:rsidRPr="003D07B0">
        <w:rPr>
          <w:rStyle w:val="Hyperlink"/>
          <w:rFonts w:ascii="Palatino Linotype" w:hAnsi="Palatino Linotype"/>
          <w:sz w:val="24"/>
          <w:szCs w:val="24"/>
          <w:u w:val="none"/>
        </w:rPr>
        <w:t>Legal: </w:t>
      </w:r>
      <w:r w:rsidRPr="003D07B0">
        <w:rPr>
          <w:rStyle w:val="Hyperlink"/>
          <w:rFonts w:ascii="Palatino Linotype" w:hAnsi="Palatino Linotype"/>
          <w:b/>
          <w:bCs/>
          <w:sz w:val="24"/>
          <w:szCs w:val="24"/>
          <w:u w:val="none"/>
        </w:rPr>
        <w:t>$1,400.00</w:t>
      </w:r>
    </w:p>
    <w:p w:rsidR="004F1EBB" w:rsidRPr="003D07B0" w:rsidRDefault="004F1EBB" w:rsidP="00ED37A6">
      <w:pPr>
        <w:rPr>
          <w:rFonts w:ascii="Palatino Linotype" w:hAnsi="Palatino Linotype"/>
          <w:sz w:val="24"/>
          <w:szCs w:val="24"/>
        </w:rPr>
      </w:pPr>
      <w:r w:rsidRPr="003D07B0">
        <w:rPr>
          <w:rStyle w:val="Hyperlink"/>
          <w:rFonts w:ascii="Palatino Linotype" w:hAnsi="Palatino Linotype"/>
          <w:sz w:val="24"/>
          <w:szCs w:val="24"/>
        </w:rPr>
        <w:object w:dxaOrig="1440" w:dyaOrig="1440">
          <v:shape id="_x0000_i1043" type="#_x0000_t75" style="width:20.25pt;height:18pt" o:ole="">
            <v:imagedata r:id="rId6" o:title=""/>
          </v:shape>
          <w:control r:id="rId10" w:name="DefaultOcxName3" w:shapeid="_x0000_i1043"/>
        </w:object>
      </w:r>
      <w:r w:rsidRPr="003D07B0">
        <w:rPr>
          <w:rStyle w:val="Hyperlink"/>
          <w:rFonts w:ascii="Palatino Linotype" w:hAnsi="Palatino Linotype"/>
          <w:sz w:val="24"/>
          <w:szCs w:val="24"/>
          <w:u w:val="none"/>
        </w:rPr>
        <w:t>Trading: </w:t>
      </w:r>
      <w:r w:rsidRPr="003D07B0">
        <w:rPr>
          <w:rStyle w:val="Hyperlink"/>
          <w:rFonts w:ascii="Palatino Linotype" w:hAnsi="Palatino Linotype"/>
          <w:b/>
          <w:bCs/>
          <w:sz w:val="24"/>
          <w:szCs w:val="24"/>
          <w:u w:val="none"/>
        </w:rPr>
        <w:t>$3,500.00</w:t>
      </w:r>
      <w:r w:rsidRPr="003D07B0">
        <w:rPr>
          <w:rFonts w:ascii="Palatino Linotype" w:hAnsi="Palatino Linotype"/>
          <w:b/>
          <w:bCs/>
          <w:sz w:val="24"/>
          <w:szCs w:val="24"/>
        </w:rPr>
        <w:fldChar w:fldCharType="end"/>
      </w:r>
      <w:bookmarkStart w:id="0" w:name="_GoBack"/>
      <w:bookmarkEnd w:id="0"/>
    </w:p>
    <w:p w:rsidR="004F1EBB" w:rsidRDefault="004F1EBB"/>
    <w:sectPr w:rsidR="004F1EBB" w:rsidSect="004F1E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1E"/>
    <w:rsid w:val="0006591E"/>
    <w:rsid w:val="003D07B0"/>
    <w:rsid w:val="004F1EBB"/>
    <w:rsid w:val="00AA4023"/>
    <w:rsid w:val="00B1609B"/>
    <w:rsid w:val="00ED37A6"/>
    <w:rsid w:val="00F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536CB89-DC43-4648-8357-530AD19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E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1E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3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7235d146-8da5-437a-ab4e-7ea67fd69262.paylinks.godaddy.com/1269cd1c-7920-4798-97aa-8ed" TargetMode="External"/><Relationship Id="rId10" Type="http://schemas.openxmlformats.org/officeDocument/2006/relationships/control" Target="activeX/activeX4.xml"/><Relationship Id="rId4" Type="http://schemas.openxmlformats.org/officeDocument/2006/relationships/hyperlink" Target="file:///C:\Users\MONTREAL\Desktop\Sales%20Call.docx" TargetMode="Externa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2025-05-22T19:46:00Z</dcterms:created>
  <dcterms:modified xsi:type="dcterms:W3CDTF">2025-05-22T19:46:00Z</dcterms:modified>
</cp:coreProperties>
</file>