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i w:val="0"/>
          <w:color w:val="008C8C"/>
          <w:sz w:val="16"/>
        </w:rPr>
        <w:t>PAGE 1 • POSITION AND MAGNITUDE</w:t>
      </w:r>
    </w:p>
    <w:p>
      <w:pPr>
        <w:keepNext/>
        <w:spacing w:after="30"/>
      </w:pPr>
      <w:r>
        <w:rPr>
          <w:rFonts w:ascii="Arial" w:hAnsi="Arial"/>
          <w:b/>
          <w:i w:val="0"/>
          <w:color w:val="102A43"/>
          <w:sz w:val="40"/>
        </w:rPr>
        <w:t>Shine’s best next-quarter bet is to replicate high-value BTP behavior</w:t>
      </w:r>
    </w:p>
    <w:p>
      <w:pPr>
        <w:spacing w:after="120"/>
      </w:pPr>
      <w:r>
        <w:rPr>
          <w:rFonts w:ascii="Arial" w:hAnsi="Arial"/>
          <w:b w:val="0"/>
          <w:i w:val="0"/>
          <w:color w:val="5E6C76"/>
          <w:sz w:val="17"/>
        </w:rPr>
        <w:t>Confirmed analysis through April 2026 • May excluded because signup coverage is truncated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type="dxa" w:w="10488"/>
            <w:shd w:fill="102A43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Across the first three complete calendar months after activation, the highest-revenue 20% of companies generate 70% of revenue. BTP contributes 30% of that value and is the clearest scalable opportunity.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shd w:fill="F3F5F7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8C8C"/>
                <w:sz w:val="30"/>
              </w:rPr>
              <w:t>20%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highest-revenue companies</w:t>
            </w:r>
          </w:p>
        </w:tc>
        <w:tc>
          <w:tcPr>
            <w:tcW w:type="dxa" w:w="2622"/>
            <w:shd w:fill="EAF4F4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8C8C"/>
                <w:sz w:val="30"/>
              </w:rPr>
              <w:t>70.2%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revenue in 3 complete months</w:t>
            </w:r>
          </w:p>
        </w:tc>
        <w:tc>
          <w:tcPr>
            <w:tcW w:type="dxa" w:w="2622"/>
            <w:shd w:fill="F3F5F7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8C8C"/>
                <w:sz w:val="30"/>
              </w:rPr>
              <w:t>30.3%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high-value revenue from BTP</w:t>
            </w:r>
          </w:p>
        </w:tc>
        <w:tc>
          <w:tcPr>
            <w:tcW w:type="dxa" w:w="2622"/>
            <w:shd w:fill="EAF4F4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8C8C"/>
                <w:sz w:val="30"/>
              </w:rPr>
              <w:t>95.1%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top-20 accounts Healthy</w:t>
            </w:r>
          </w:p>
        </w:tc>
      </w:tr>
    </w:tbl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6372000" cy="1179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ntration_20_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11798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3E8"/>
          <w:left w:val="single" w:sz="4" w:color="DDE3E8"/>
          <w:bottom w:val="single" w:sz="4" w:color="DDE3E8"/>
          <w:right w:val="single" w:sz="4" w:color="DDE3E8"/>
          <w:insideH w:val="single" w:sz="4" w:color="DDE3E8"/>
          <w:insideV w:val="single" w:sz="4" w:color="DDE3E8"/>
        </w:tblBorders>
      </w:tblPr>
      <w:tblGrid>
        <w:gridCol w:w="10375"/>
      </w:tblGrid>
      <w:tr>
        <w:tc>
          <w:tcPr>
            <w:tcW w:type="dxa" w:w="10488"/>
            <w:tcMar>
              <w:top w:w="55" w:type="dxa"/>
              <w:start w:w="100" w:type="dxa"/>
              <w:bottom w:w="55" w:type="dxa"/>
              <w:end w:w="100" w:type="dxa"/>
            </w:tcMar>
            <w:shd w:fill="F3F5F7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color w:val="5E6C76"/>
                <w:sz w:val="14"/>
              </w:rPr>
              <w:t>Why this window: revenue is supplied only by calendar month. For a company activated late in month 0, the table cannot separate pre- and post-activation days. We therefore exclude month 0 and compare months 1-3, the first three complete calendar months. An exact 90-day window would require daily revenue.</w:t>
            </w:r>
          </w:p>
        </w:tc>
      </w:tr>
    </w:tbl>
    <w:p>
      <w:pPr>
        <w:keepNext/>
        <w:spacing w:before="40" w:after="60"/>
      </w:pPr>
      <w:r>
        <w:rPr>
          <w:rFonts w:ascii="Arial" w:hAnsi="Arial"/>
          <w:b/>
          <w:i w:val="0"/>
          <w:color w:val="102A43"/>
          <w:sz w:val="21"/>
        </w:rPr>
        <w:t>What the data shows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5187"/>
        <w:gridCol w:w="5187"/>
      </w:tblGrid>
      <w:tr>
        <w:tc>
          <w:tcPr>
            <w:tcW w:type="dxa" w:w="5244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AF4F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08C8C"/>
                <w:sz w:val="15"/>
              </w:rPr>
              <w:t>OPPORTUNITY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7212B"/>
                <w:sz w:val="17"/>
              </w:rPr>
              <w:t>BTP is 26.51% of the comparable top 20% and 30.28% of its revenue.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Plus is 2.18× overrepresented; BTP + Plus is 2.44× represented.</w:t>
            </w:r>
          </w:p>
        </w:tc>
        <w:tc>
          <w:tcPr>
            <w:tcW w:type="dxa" w:w="5244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5F7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C95C3D"/>
                <w:sz w:val="15"/>
              </w:rPr>
              <w:t>RISK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7212B"/>
                <w:sz w:val="17"/>
              </w:rPr>
              <w:t>70.7% of April revenue comes from interchange and deposit interest.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The raw top 20% generates ~80% of both streams, creating usage and balance dependence.</w:t>
            </w:r>
          </w:p>
        </w:tc>
      </w:tr>
    </w:tbl>
    <w:p>
      <w:pPr>
        <w:keepNext/>
        <w:spacing w:before="60" w:after="60"/>
      </w:pPr>
      <w:r>
        <w:rPr>
          <w:rFonts w:ascii="Arial" w:hAnsi="Arial"/>
          <w:b/>
          <w:i w:val="0"/>
          <w:color w:val="102A43"/>
          <w:sz w:val="21"/>
        </w:rPr>
        <w:t>Definitions and assumptions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3E8"/>
          <w:left w:val="single" w:sz="4" w:color="DDE3E8"/>
          <w:bottom w:val="single" w:sz="4" w:color="DDE3E8"/>
          <w:right w:val="single" w:sz="4" w:color="DDE3E8"/>
          <w:insideH w:val="single" w:sz="4" w:color="DDE3E8"/>
          <w:insideV w:val="single" w:sz="4" w:color="DDE3E8"/>
        </w:tblBorders>
      </w:tblPr>
      <w:tblGrid>
        <w:gridCol w:w="5187"/>
        <w:gridCol w:w="5187"/>
      </w:tblGrid>
      <w:tr>
        <w:tc>
          <w:tcPr>
            <w:tcW w:type="dxa" w:w="5244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02A43"/>
                <w:sz w:val="15"/>
              </w:rPr>
              <w:t xml:space="preserve">Revenue-active: </w:t>
            </w: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revenue row in the observation month</w:t>
            </w:r>
          </w:p>
        </w:tc>
        <w:tc>
          <w:tcPr>
            <w:tcW w:type="dxa" w:w="5244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02A43"/>
                <w:sz w:val="15"/>
              </w:rPr>
              <w:t xml:space="preserve">Healthy revenue account: </w:t>
            </w: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Active with an unbroken revenue streak since activation</w:t>
            </w:r>
          </w:p>
        </w:tc>
      </w:tr>
      <w:tr>
        <w:tc>
          <w:tcPr>
            <w:tcW w:type="dxa" w:w="5244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02A43"/>
                <w:sz w:val="15"/>
              </w:rPr>
              <w:t xml:space="preserve">At-risk: </w:t>
            </w: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previously Active, then 1–2 missing revenue months</w:t>
            </w:r>
          </w:p>
        </w:tc>
        <w:tc>
          <w:tcPr>
            <w:tcW w:type="dxa" w:w="5244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02A43"/>
                <w:sz w:val="15"/>
              </w:rPr>
              <w:t xml:space="preserve">Churned proxy: </w:t>
            </w: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previously Active, then ≥3 missing months; not confirmed churn</w:t>
            </w:r>
          </w:p>
        </w:tc>
      </w:tr>
    </w:tbl>
    <w:p>
      <w:pPr>
        <w:spacing w:before="60" w:after="0"/>
      </w:pPr>
      <w:r>
        <w:rPr>
          <w:rFonts w:ascii="Arial" w:hAnsi="Arial"/>
          <w:b/>
          <w:i w:val="0"/>
          <w:color w:val="008C8C"/>
          <w:sz w:val="18"/>
        </w:rPr>
        <w:t xml:space="preserve">Decision: </w:t>
      </w:r>
      <w:r>
        <w:rPr>
          <w:rFonts w:ascii="Arial" w:hAnsi="Arial"/>
          <w:b w:val="0"/>
          <w:i w:val="0"/>
          <w:color w:val="17212B"/>
          <w:sz w:val="18"/>
        </w:rPr>
        <w:t>prioritize a controlled BTP adoption test; protect high-value companies at their first revenue gap. This is a concentrated growth opportunity—not evidence of a broad churn crisis.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008C8C"/>
          <w:sz w:val="16"/>
        </w:rPr>
        <w:t>PAGE 2 • RANKED DECISIONS</w:t>
      </w:r>
    </w:p>
    <w:p>
      <w:pPr>
        <w:keepNext/>
        <w:spacing w:after="30"/>
      </w:pPr>
      <w:r>
        <w:rPr>
          <w:rFonts w:ascii="Arial" w:hAnsi="Arial"/>
          <w:b/>
          <w:i w:val="0"/>
          <w:color w:val="102A43"/>
          <w:sz w:val="40"/>
        </w:rPr>
        <w:t>Two initiatives, clearly weighted</w:t>
      </w:r>
    </w:p>
    <w:p>
      <w:pPr>
        <w:spacing w:after="120"/>
      </w:pPr>
      <w:r>
        <w:rPr>
          <w:rFonts w:ascii="Arial" w:hAnsi="Arial"/>
          <w:b w:val="0"/>
          <w:i w:val="0"/>
          <w:color w:val="5E6C76"/>
          <w:sz w:val="17"/>
        </w:rPr>
        <w:t>Ranked by observable scale, value concentration, health, and actionability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FFFFFF"/>
          <w:left w:val="single" w:sz="7" w:color="FFFFFF"/>
          <w:bottom w:val="single" w:sz="7" w:color="FFFFFF"/>
          <w:right w:val="single" w:sz="7" w:color="FFFFFF"/>
          <w:insideH w:val="single" w:sz="7" w:color="FFFFFF"/>
          <w:insideV w:val="single" w:sz="7" w:color="FFFFFF"/>
        </w:tblBorders>
      </w:tblPr>
      <w:tblGrid>
        <w:gridCol w:w="624"/>
        <w:gridCol w:w="2381"/>
        <w:gridCol w:w="4195"/>
        <w:gridCol w:w="3175"/>
      </w:tblGrid>
      <w:tr>
        <w:tc>
          <w:tcPr>
            <w:tcW w:type="dxa" w:w="2622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shd w:fill="008C8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1</w:t>
            </w:r>
          </w:p>
        </w:tc>
        <w:tc>
          <w:tcPr>
            <w:tcW w:type="dxa" w:w="2622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shd w:fill="EAF4F4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8"/>
              </w:rPr>
              <w:t>BTP adoption &amp; monetization experiment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Replicate the product behaviors associated with high value; do not assume plan upsell is the lever.</w:t>
            </w:r>
          </w:p>
        </w:tc>
        <w:tc>
          <w:tcPr>
            <w:tcW w:type="dxa" w:w="2622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08C8C"/>
                <w:sz w:val="15"/>
              </w:rPr>
              <w:t>OBSERVABLE MAGNITUDE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1,642 comparable BTP companies; 482 already top 20%, leaving 1,160 outside. BTP contributes €233.6k / 30.28% of top-20 revenue across the first three complete months.</w:t>
            </w:r>
          </w:p>
        </w:tc>
        <w:tc>
          <w:tcPr>
            <w:tcW w:type="dxa" w:w="2622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C95C3D"/>
                <w:sz w:val="15"/>
              </w:rPr>
              <w:t>LIMIT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No current plan, product-use, cost, or margin data. Uplift cannot be sized in euros before a causal test.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FFFFFF"/>
          <w:left w:val="single" w:sz="7" w:color="FFFFFF"/>
          <w:bottom w:val="single" w:sz="7" w:color="FFFFFF"/>
          <w:right w:val="single" w:sz="7" w:color="FFFFFF"/>
          <w:insideH w:val="single" w:sz="7" w:color="FFFFFF"/>
          <w:insideV w:val="single" w:sz="7" w:color="FFFFFF"/>
        </w:tblBorders>
      </w:tblPr>
      <w:tblGrid>
        <w:gridCol w:w="624"/>
        <w:gridCol w:w="2381"/>
        <w:gridCol w:w="4195"/>
        <w:gridCol w:w="3175"/>
      </w:tblGrid>
      <w:tr>
        <w:tc>
          <w:tcPr>
            <w:tcW w:type="dxa" w:w="2622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shd w:fill="E9A23B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2</w:t>
            </w:r>
          </w:p>
        </w:tc>
        <w:tc>
          <w:tcPr>
            <w:tcW w:type="dxa" w:w="2622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shd w:fill="F3F5F7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8"/>
              </w:rPr>
              <w:t>First-gap protection for high-value companies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Trigger support after the first missing revenue month; keep recovered companies monitored.</w:t>
            </w:r>
          </w:p>
        </w:tc>
        <w:tc>
          <w:tcPr>
            <w:tcW w:type="dxa" w:w="2622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08C8C"/>
                <w:sz w:val="15"/>
              </w:rPr>
              <w:t>OBSERVABLE MAGNITUDE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85 top-20 companies At-risk + 69 Churned proxy. Last-observed monthly revenue exposure: €19.24k. Healthy / recovered pool generates ~€424k in April.</w:t>
            </w:r>
          </w:p>
        </w:tc>
        <w:tc>
          <w:tcPr>
            <w:tcW w:type="dxa" w:w="2622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C95C3D"/>
                <w:sz w:val="15"/>
              </w:rPr>
              <w:t>LIMIT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The current eligible risk pool is small and may require a phased rollout or broader pre-defined high-value band.</w:t>
            </w:r>
          </w:p>
        </w:tc>
      </w:tr>
    </w:tbl>
    <w:p>
      <w:pPr>
        <w:spacing w:after="0"/>
      </w:pPr>
    </w:p>
    <w:p>
      <w:pPr>
        <w:keepNext/>
        <w:spacing w:before="40" w:after="60"/>
      </w:pPr>
      <w:r>
        <w:rPr>
          <w:rFonts w:ascii="Arial" w:hAnsi="Arial"/>
          <w:b/>
          <w:i w:val="0"/>
          <w:color w:val="102A43"/>
          <w:sz w:val="21"/>
        </w:rPr>
        <w:t>Why blanket churn is not the lead bet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263999" cy="1425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20_heal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425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60"/>
      </w:pPr>
      <w:r>
        <w:rPr>
          <w:rFonts w:ascii="Arial" w:hAnsi="Arial"/>
          <w:b/>
          <w:i w:val="0"/>
          <w:color w:val="102A43"/>
          <w:sz w:val="21"/>
        </w:rPr>
        <w:t>Alternatives considered—and rejected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color="D8DEE3"/>
          <w:left w:val="single" w:sz="3" w:color="D8DEE3"/>
          <w:bottom w:val="single" w:sz="3" w:color="D8DEE3"/>
          <w:right w:val="single" w:sz="3" w:color="D8DEE3"/>
          <w:insideH w:val="single" w:sz="3" w:color="D8DEE3"/>
          <w:insideV w:val="single" w:sz="3" w:color="D8DEE3"/>
        </w:tblBorders>
      </w:tblPr>
      <w:tblGrid>
        <w:gridCol w:w="2268"/>
        <w:gridCol w:w="2324"/>
        <w:gridCol w:w="5783"/>
      </w:tblGrid>
      <w:tr>
        <w:trPr>
          <w:tblHeader w:val="true"/>
        </w:trPr>
        <w:tc>
          <w:tcPr>
            <w:tcW w:type="dxa" w:w="3496"/>
            <w:shd w:fill="102A4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Alternative</w:t>
            </w:r>
          </w:p>
        </w:tc>
        <w:tc>
          <w:tcPr>
            <w:tcW w:type="dxa" w:w="3496"/>
            <w:shd w:fill="102A4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Why attractive</w:t>
            </w:r>
          </w:p>
        </w:tc>
        <w:tc>
          <w:tcPr>
            <w:tcW w:type="dxa" w:w="3496"/>
            <w:shd w:fill="102A4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Why it loses now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5"/>
              </w:rPr>
              <w:t>Acquire more Business</w:t>
            </w:r>
          </w:p>
        </w:tc>
        <w:tc>
          <w:tcPr>
            <w:tcW w:type="dxa" w:w="2324"/>
            <w:tcMar>
              <w:top w:w="65" w:type="dxa"/>
              <w:start w:w="90" w:type="dxa"/>
              <w:bottom w:w="65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High revenue/company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Small base; 73.3% funnel dropout; weak continuity; no CAC or KYB-reason data.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5"/>
              </w:rPr>
              <w:t>Broad funnel overhaul</w:t>
            </w:r>
          </w:p>
        </w:tc>
        <w:tc>
          <w:tcPr>
            <w:tcW w:type="dxa" w:w="2324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62.9% 30-day dropout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Cannot distinguish rejection, delay, abandonment, or extraction effects; no channel cost.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5"/>
              </w:rPr>
              <w:t>Blanket churn campaign</w:t>
            </w:r>
          </w:p>
        </w:tc>
        <w:tc>
          <w:tcPr>
            <w:tcW w:type="dxa" w:w="2324"/>
            <w:tcMar>
              <w:top w:w="65" w:type="dxa"/>
              <w:start w:w="90" w:type="dxa"/>
              <w:bottom w:w="65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Retention feels urgent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High-value pool is 95.08% Healthy; target the first gap instead.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5"/>
              </w:rPr>
              <w:t>Immediate plan upsell</w:t>
            </w:r>
          </w:p>
        </w:tc>
        <w:tc>
          <w:tcPr>
            <w:tcW w:type="dxa" w:w="2324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Plus/Business correlate with value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Only initial plan exists; current plan and causal plan effect are unknown.</w:t>
            </w:r>
          </w:p>
        </w:tc>
      </w:tr>
    </w:tbl>
    <w:p>
      <w:pPr>
        <w:keepNext/>
        <w:spacing w:before="60" w:after="60"/>
      </w:pPr>
      <w:r>
        <w:rPr>
          <w:rFonts w:ascii="Arial" w:hAnsi="Arial"/>
          <w:b/>
          <w:i w:val="0"/>
          <w:color w:val="102A43"/>
          <w:sz w:val="21"/>
        </w:rPr>
        <w:t>Magnitude: honest bounds</w:t>
      </w:r>
    </w:p>
    <w:p>
      <w:pPr>
        <w:spacing w:after="0" w:line="250" w:lineRule="auto"/>
      </w:pPr>
      <w:r>
        <w:rPr>
          <w:rFonts w:ascii="Arial" w:hAnsi="Arial"/>
          <w:b w:val="0"/>
          <w:i w:val="0"/>
          <w:color w:val="17212B"/>
          <w:sz w:val="17"/>
        </w:rPr>
        <w:t>We can size populations and observed revenue, not incremental uplift. The dataset lacks product usage, current plan, treatment cost, margin, CAC, and a causal counterfactual. Rank 1 has the larger addressable pool; Rank 2 protects a smaller currently exposed pool.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008C8C"/>
          <w:sz w:val="16"/>
        </w:rPr>
        <w:t>PAGE 3 • PROVE AND PRODUCTIONISE</w:t>
      </w:r>
    </w:p>
    <w:p>
      <w:pPr>
        <w:keepNext/>
        <w:spacing w:after="30"/>
      </w:pPr>
      <w:r>
        <w:rPr>
          <w:rFonts w:ascii="Arial" w:hAnsi="Arial"/>
          <w:b/>
          <w:i w:val="0"/>
          <w:color w:val="102A43"/>
          <w:sz w:val="40"/>
        </w:rPr>
        <w:t>Test the lever before scaling—and make the metrics trustworthy</w:t>
      </w:r>
    </w:p>
    <w:p>
      <w:pPr>
        <w:spacing w:after="120"/>
      </w:pPr>
      <w:r>
        <w:rPr>
          <w:rFonts w:ascii="Arial" w:hAnsi="Arial"/>
          <w:b w:val="0"/>
          <w:i w:val="0"/>
          <w:color w:val="5E6C76"/>
          <w:sz w:val="17"/>
        </w:rPr>
        <w:t>Association identifies where to test; randomisation establishes whether the lever works</w:t>
      </w:r>
    </w:p>
    <w:p>
      <w:pPr>
        <w:keepNext/>
        <w:spacing w:before="0" w:after="60"/>
      </w:pPr>
      <w:r>
        <w:rPr>
          <w:rFonts w:ascii="Arial" w:hAnsi="Arial"/>
          <w:b/>
          <w:i w:val="0"/>
          <w:color w:val="102A43"/>
          <w:sz w:val="21"/>
        </w:rPr>
        <w:t>Lead experiment: BTP product adoption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color="D8DEE3"/>
          <w:left w:val="single" w:sz="3" w:color="D8DEE3"/>
          <w:bottom w:val="single" w:sz="3" w:color="D8DEE3"/>
          <w:right w:val="single" w:sz="3" w:color="D8DEE3"/>
          <w:insideH w:val="single" w:sz="3" w:color="D8DEE3"/>
          <w:insideV w:val="single" w:sz="3" w:color="D8DEE3"/>
        </w:tblBorders>
      </w:tblPr>
      <w:tblGrid>
        <w:gridCol w:w="2268"/>
        <w:gridCol w:w="8107"/>
      </w:tblGrid>
      <w:tr>
        <w:trPr>
          <w:cantSplit/>
        </w:trPr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EAF4F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008C8C"/>
                <w:sz w:val="16"/>
              </w:rPr>
              <w:t>Hypothesis</w:t>
            </w:r>
          </w:p>
        </w:tc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A single, customer-appropriate product-adoption intervention causes incremental recognised revenue without worsening customer, operational, risk, or fairness outcomes.</w:t>
            </w:r>
          </w:p>
        </w:tc>
      </w:tr>
      <w:tr>
        <w:trPr>
          <w:cantSplit/>
        </w:trPr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EAF4F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008C8C"/>
                <w:sz w:val="16"/>
              </w:rPr>
              <w:t>Eligibility &amp; design</w:t>
            </w:r>
          </w:p>
        </w:tc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F3F5F7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Freeze eligibility using a pre-period; use revenue-active BTP below a pre-defined high-value threshold; randomise treatment vs business-as-usual; stratify by pre-revenue, cohort age, current plan and usage; analyse intention-to-treat.</w:t>
            </w:r>
          </w:p>
        </w:tc>
      </w:tr>
      <w:tr>
        <w:trPr>
          <w:cantSplit/>
        </w:trPr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EAF4F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008C8C"/>
                <w:sz w:val="16"/>
              </w:rPr>
              <w:t>Primary metric</w:t>
            </w:r>
          </w:p>
        </w:tc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Incremental mean total revenue per eligible company over 90 days. Report bootstrap confidence intervals plus median and winsorised sensitivities because revenue is highly skewed.</w:t>
            </w:r>
          </w:p>
        </w:tc>
      </w:tr>
      <w:tr>
        <w:trPr>
          <w:cantSplit/>
        </w:trPr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EAF4F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008C8C"/>
                <w:sz w:val="16"/>
              </w:rPr>
              <w:t>Success</w:t>
            </w:r>
          </w:p>
        </w:tc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F3F5F7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Scale only if the pre-registered interval supports positive uplift above fully loaded treatment cost, with no material guardrail deterioration. Power the test after final eligibility, cost and variance are known.</w:t>
            </w:r>
          </w:p>
        </w:tc>
      </w:tr>
      <w:tr>
        <w:trPr>
          <w:cantSplit/>
        </w:trPr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EAF4F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008C8C"/>
                <w:sz w:val="16"/>
              </w:rPr>
              <w:t>Guardrails</w:t>
            </w:r>
          </w:p>
        </w:tc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Closures, complaints, support contacts, fraud/AML/risk outcomes, fairness, operational failures, and negative-fee adjustments.</w:t>
            </w:r>
          </w:p>
        </w:tc>
      </w:tr>
    </w:tbl>
    <w:p>
      <w:pPr>
        <w:keepNext/>
        <w:spacing w:before="60" w:after="60"/>
      </w:pPr>
      <w:r>
        <w:rPr>
          <w:rFonts w:ascii="Arial" w:hAnsi="Arial"/>
          <w:b/>
          <w:i w:val="0"/>
          <w:color w:val="102A43"/>
          <w:sz w:val="21"/>
        </w:rPr>
        <w:t>Validate first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FFFFFF"/>
          <w:left w:val="single" w:sz="7" w:color="FFFFFF"/>
          <w:bottom w:val="single" w:sz="7" w:color="FFFFFF"/>
          <w:right w:val="single" w:sz="7" w:color="FFFFFF"/>
          <w:insideH w:val="single" w:sz="7" w:color="FFFFFF"/>
          <w:insideV w:val="single" w:sz="7" w:color="FFFFFF"/>
        </w:tblBorders>
      </w:tblPr>
      <w:tblGrid>
        <w:gridCol w:w="3458"/>
        <w:gridCol w:w="3458"/>
        <w:gridCol w:w="3458"/>
      </w:tblGrid>
      <w:tr>
        <w:tc>
          <w:tcPr>
            <w:tcW w:type="dxa" w:w="3496"/>
            <w:shd w:fill="F3F5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08C8C"/>
                <w:sz w:val="24"/>
              </w:rPr>
              <w:t>1</w:t>
            </w:r>
            <w:r>
              <w:rPr>
                <w:rFonts w:ascii="Arial" w:hAnsi="Arial"/>
                <w:b/>
                <w:i w:val="0"/>
                <w:color w:val="102A43"/>
                <w:sz w:val="16"/>
              </w:rPr>
              <w:t xml:space="preserve">  Completeness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Confirm missing row = zero; reconcile to Finance; keep May out until signup coverage is explained.</w:t>
            </w:r>
          </w:p>
        </w:tc>
        <w:tc>
          <w:tcPr>
            <w:tcW w:type="dxa" w:w="3496"/>
            <w:shd w:fill="F3F5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08C8C"/>
                <w:sz w:val="24"/>
              </w:rPr>
              <w:t>2</w:t>
            </w:r>
            <w:r>
              <w:rPr>
                <w:rFonts w:ascii="Arial" w:hAnsi="Arial"/>
                <w:b/>
                <w:i w:val="0"/>
                <w:color w:val="102A43"/>
                <w:sz w:val="16"/>
              </w:rPr>
              <w:t xml:space="preserve">  Business meaning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Validate activation, closure, cancellation, revenue recognition, current plan and persona history.</w:t>
            </w:r>
          </w:p>
        </w:tc>
        <w:tc>
          <w:tcPr>
            <w:tcW w:type="dxa" w:w="3496"/>
            <w:shd w:fill="FBEFE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C95C3D"/>
                <w:sz w:val="24"/>
              </w:rPr>
              <w:t>3</w:t>
            </w:r>
            <w:r>
              <w:rPr>
                <w:rFonts w:ascii="Arial" w:hAnsi="Arial"/>
                <w:b/>
                <w:i w:val="0"/>
                <w:color w:val="102A43"/>
                <w:sz w:val="16"/>
              </w:rPr>
              <w:t xml:space="preserve">  KYB &amp; privacy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Confirm permitted persona use; minimise data; suppress small cells; never use this for adverse eligibility decisions.</w:t>
            </w:r>
          </w:p>
        </w:tc>
      </w:tr>
    </w:tbl>
    <w:p>
      <w:pPr>
        <w:keepNext/>
        <w:spacing w:before="60" w:after="60"/>
      </w:pPr>
      <w:r>
        <w:rPr>
          <w:rFonts w:ascii="Arial" w:hAnsi="Arial"/>
          <w:b/>
          <w:i w:val="0"/>
          <w:color w:val="102A43"/>
          <w:sz w:val="21"/>
        </w:rPr>
        <w:t>Trusted production engine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FFFFFF"/>
          <w:left w:val="single" w:sz="7" w:color="FFFFFF"/>
          <w:bottom w:val="single" w:sz="7" w:color="FFFFFF"/>
          <w:right w:val="single" w:sz="7" w:color="FFFFFF"/>
          <w:insideH w:val="single" w:sz="7" w:color="FFFFFF"/>
          <w:insideV w:val="single" w:sz="7" w:color="FFFFFF"/>
        </w:tblBorders>
      </w:tblPr>
      <w:tblGrid>
        <w:gridCol w:w="1446"/>
        <w:gridCol w:w="312"/>
        <w:gridCol w:w="2268"/>
        <w:gridCol w:w="312"/>
        <w:gridCol w:w="2041"/>
        <w:gridCol w:w="312"/>
        <w:gridCol w:w="2665"/>
      </w:tblGrid>
      <w:tr>
        <w:tc>
          <w:tcPr>
            <w:tcW w:type="dxa" w:w="1498"/>
            <w:vAlign w:val="center"/>
            <w:tcMar>
              <w:top w:w="65" w:type="dxa"/>
              <w:start w:w="45" w:type="dxa"/>
              <w:bottom w:w="65" w:type="dxa"/>
              <w:end w:w="45" w:type="dxa"/>
            </w:tcMar>
            <w:shd w:fill="EAF4F4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02A43"/>
                <w:sz w:val="16"/>
              </w:rPr>
              <w:t>Raw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3"/>
              </w:rPr>
              <w:t>snapshots</w:t>
            </w:r>
          </w:p>
        </w:tc>
        <w:tc>
          <w:tcPr>
            <w:tcW w:type="dxa" w:w="1498"/>
            <w:vAlign w:val="center"/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8C8C"/>
                <w:sz w:val="24"/>
              </w:rPr>
              <w:t>→</w:t>
            </w:r>
          </w:p>
        </w:tc>
        <w:tc>
          <w:tcPr>
            <w:tcW w:type="dxa" w:w="1498"/>
            <w:vAlign w:val="center"/>
            <w:tcMar>
              <w:top w:w="65" w:type="dxa"/>
              <w:start w:w="45" w:type="dxa"/>
              <w:bottom w:w="65" w:type="dxa"/>
              <w:end w:w="45" w:type="dxa"/>
            </w:tcMar>
            <w:shd w:fill="EAF4F4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02A43"/>
                <w:sz w:val="16"/>
              </w:rPr>
              <w:t>Typed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3"/>
              </w:rPr>
              <w:t>company-month fact</w:t>
            </w:r>
          </w:p>
        </w:tc>
        <w:tc>
          <w:tcPr>
            <w:tcW w:type="dxa" w:w="1498"/>
            <w:vAlign w:val="center"/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8C8C"/>
                <w:sz w:val="24"/>
              </w:rPr>
              <w:t>→</w:t>
            </w:r>
          </w:p>
        </w:tc>
        <w:tc>
          <w:tcPr>
            <w:tcW w:type="dxa" w:w="1498"/>
            <w:vAlign w:val="center"/>
            <w:tcMar>
              <w:top w:w="65" w:type="dxa"/>
              <w:start w:w="45" w:type="dxa"/>
              <w:bottom w:w="65" w:type="dxa"/>
              <w:end w:w="45" w:type="dxa"/>
            </w:tcMar>
            <w:shd w:fill="EAF4F4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02A43"/>
                <w:sz w:val="16"/>
              </w:rPr>
              <w:t>Versioned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3"/>
              </w:rPr>
              <w:t>metric marts</w:t>
            </w:r>
          </w:p>
        </w:tc>
        <w:tc>
          <w:tcPr>
            <w:tcW w:type="dxa" w:w="1498"/>
            <w:vAlign w:val="center"/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8C8C"/>
                <w:sz w:val="24"/>
              </w:rPr>
              <w:t>→</w:t>
            </w:r>
          </w:p>
        </w:tc>
        <w:tc>
          <w:tcPr>
            <w:tcW w:type="dxa" w:w="1498"/>
            <w:vAlign w:val="center"/>
            <w:tcMar>
              <w:top w:w="65" w:type="dxa"/>
              <w:start w:w="45" w:type="dxa"/>
              <w:bottom w:w="65" w:type="dxa"/>
              <w:end w:w="45" w:type="dxa"/>
            </w:tcMar>
            <w:shd w:fill="EAF4F4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02A43"/>
                <w:sz w:val="16"/>
              </w:rPr>
              <w:t>Governed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3"/>
              </w:rPr>
              <w:t>semantic layer</w:t>
            </w:r>
          </w:p>
        </w:tc>
      </w:tr>
    </w:tbl>
    <w:p>
      <w:pPr>
        <w:spacing w:after="20" w:line="250" w:lineRule="auto"/>
      </w:pPr>
      <w:r>
        <w:rPr>
          <w:rFonts w:ascii="Arial" w:hAnsi="Arial"/>
          <w:b w:val="0"/>
          <w:i w:val="0"/>
          <w:color w:val="17212B"/>
          <w:sz w:val="15"/>
        </w:rPr>
        <w:t>Automated tests: unique company-month key; referential integrity; component-to-total and Finance reconciliation; freshness/completeness; date ordering; state-transition invariants; fixed cohort denominators; late-arriving-data/backfill controls.</w:t>
      </w:r>
    </w:p>
    <w:p>
      <w:pPr>
        <w:spacing w:after="20" w:line="250" w:lineRule="auto"/>
      </w:pPr>
      <w:r>
        <w:rPr>
          <w:rFonts w:ascii="Arial" w:hAnsi="Arial"/>
          <w:b w:val="0"/>
          <w:i w:val="0"/>
          <w:color w:val="17212B"/>
          <w:sz w:val="15"/>
        </w:rPr>
        <w:t>Ownership: Finance—revenue; Product/Growth—lever and thresholds; Data—models/tests/lineage; Risk/Compliance/Privacy—KYB use; Operations/CRM—execution. Refresh after monthly close and version every definition change.</w:t>
      </w:r>
    </w:p>
    <w:p>
      <w:pPr>
        <w:spacing w:before="40" w:after="0"/>
      </w:pPr>
      <w:r>
        <w:rPr>
          <w:rFonts w:ascii="Arial" w:hAnsi="Arial"/>
          <w:b/>
          <w:i w:val="0"/>
          <w:color w:val="008C8C"/>
          <w:sz w:val="15"/>
        </w:rPr>
        <w:t xml:space="preserve">SQL appendix: </w:t>
      </w:r>
      <w:r>
        <w:rPr>
          <w:rFonts w:ascii="Arial" w:hAnsi="Arial"/>
          <w:b w:val="0"/>
          <w:i w:val="0"/>
          <w:color w:val="5E6C76"/>
          <w:sz w:val="15"/>
        </w:rPr>
        <w:t>sql/revenue_concentration_analysis.sql • sql/presentation_kpis.sql • sql/kpi_deep_dive.sql</w:t>
      </w:r>
    </w:p>
    <w:p>
      <w:pPr>
        <w:spacing w:after="0"/>
      </w:pPr>
      <w:r>
        <w:rPr>
          <w:rFonts w:ascii="Arial" w:hAnsi="Arial"/>
          <w:b/>
          <w:i w:val="0"/>
          <w:color w:val="C95C3D"/>
          <w:sz w:val="15"/>
        </w:rPr>
        <w:t xml:space="preserve">Not concluded: </w:t>
      </w:r>
      <w:r>
        <w:rPr>
          <w:rFonts w:ascii="Arial" w:hAnsi="Arial"/>
          <w:b w:val="0"/>
          <w:i w:val="0"/>
          <w:color w:val="5E6C76"/>
          <w:sz w:val="15"/>
        </w:rPr>
        <w:t>true churn, forecast LTV, causal plan effect, CAC/payback, profitability, or complete May performance.</w:t>
      </w:r>
    </w:p>
    <w:sectPr w:rsidR="00FC693F" w:rsidRPr="0006063C" w:rsidSect="00034616">
      <w:footerReference w:type="default" r:id="rId9"/>
      <w:pgSz w:w="11906" w:h="16838"/>
      <w:pgMar w:top="652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i w:val="0"/>
        <w:color w:val="5E6C76"/>
        <w:sz w:val="14"/>
      </w:rPr>
      <w:t xml:space="preserve">SHINE CASE  •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Shine — Revenue Risk &amp; Opportunity</dc:title>
  <dc:subject>Senior Data Analyst Case Study</dc:subject>
  <dc:creator>Candidate analysis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