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rial" w:hAnsi="Arial"/>
          <w:b/>
          <w:i w:val="0"/>
          <w:color w:val="008C8C"/>
          <w:sz w:val="16"/>
        </w:rPr>
        <w:t>PAGE 1 • RAW-DATA BIG PICTURE</w:t>
      </w:r>
    </w:p>
    <w:p>
      <w:pPr>
        <w:keepNext/>
        <w:spacing w:after="30"/>
      </w:pPr>
      <w:r>
        <w:rPr>
          <w:rFonts w:ascii="Arial" w:hAnsi="Arial"/>
          <w:b/>
          <w:i w:val="0"/>
          <w:color w:val="102A43"/>
          <w:sz w:val="40"/>
        </w:rPr>
        <w:t>BTP leads the full confirmed revenue view; Start leads plan scale</w:t>
      </w:r>
    </w:p>
    <w:p>
      <w:pPr>
        <w:spacing w:after="120"/>
      </w:pPr>
      <w:r>
        <w:rPr>
          <w:rFonts w:ascii="Arial" w:hAnsi="Arial"/>
          <w:b w:val="0"/>
          <w:i w:val="0"/>
          <w:color w:val="5E6C76"/>
          <w:sz w:val="17"/>
        </w:rPr>
        <w:t>Base tables only • Cumulative through April 2026 • May excluded from headlines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2622"/>
        <w:gridCol w:w="2622"/>
        <w:gridCol w:w="2622"/>
        <w:gridCol w:w="2622"/>
      </w:tblGrid>
      <w:tr>
        <w:tc>
          <w:tcPr>
            <w:tcW w:type="dxa" w:w="2622"/>
            <w:shd w:fill="F3F5F7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8C8C"/>
                <w:sz w:val="30"/>
              </w:rPr>
              <w:t>€2.35m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E6C76"/>
                <w:sz w:val="15"/>
              </w:rPr>
              <w:t>confirmed revenue through April</w:t>
            </w:r>
          </w:p>
        </w:tc>
        <w:tc>
          <w:tcPr>
            <w:tcW w:type="dxa" w:w="2622"/>
            <w:shd w:fill="EAF4F4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8C8C"/>
                <w:sz w:val="30"/>
              </w:rPr>
              <w:t>17,568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E6C76"/>
                <w:sz w:val="15"/>
              </w:rPr>
              <w:t>companies with confirmed revenue</w:t>
            </w:r>
          </w:p>
        </w:tc>
        <w:tc>
          <w:tcPr>
            <w:tcW w:type="dxa" w:w="2622"/>
            <w:shd w:fill="F3F5F7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8C8C"/>
                <w:sz w:val="30"/>
              </w:rPr>
              <w:t>25.4%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E6C76"/>
                <w:sz w:val="15"/>
              </w:rPr>
              <w:t>confirmed revenue from BTP</w:t>
            </w:r>
          </w:p>
        </w:tc>
        <w:tc>
          <w:tcPr>
            <w:tcW w:type="dxa" w:w="2622"/>
            <w:shd w:fill="EAF4F4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8C8C"/>
                <w:sz w:val="30"/>
              </w:rPr>
              <w:t>44.5%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E6C76"/>
                <w:sz w:val="15"/>
              </w:rPr>
              <w:t>confirmed revenue from Start</w:t>
            </w:r>
          </w:p>
        </w:tc>
      </w:tr>
    </w:tbl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80000" cy="25204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ple_raw_segment_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5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60"/>
      </w:pPr>
      <w:r>
        <w:rPr>
          <w:rFonts w:ascii="Arial" w:hAnsi="Arial"/>
          <w:b/>
          <w:i w:val="0"/>
          <w:color w:val="102A43"/>
          <w:sz w:val="21"/>
        </w:rPr>
        <w:t>What I conclude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7" w:color="FFFFFF"/>
          <w:left w:val="single" w:sz="7" w:color="FFFFFF"/>
          <w:bottom w:val="single" w:sz="7" w:color="FFFFFF"/>
          <w:right w:val="single" w:sz="7" w:color="FFFFFF"/>
          <w:insideH w:val="single" w:sz="7" w:color="FFFFFF"/>
          <w:insideV w:val="single" w:sz="7" w:color="FFFFFF"/>
        </w:tblBorders>
      </w:tblPr>
      <w:tblGrid>
        <w:gridCol w:w="3458"/>
        <w:gridCol w:w="3458"/>
        <w:gridCol w:w="3458"/>
      </w:tblGrid>
      <w:tr>
        <w:tc>
          <w:tcPr>
            <w:tcW w:type="dxa" w:w="3496"/>
            <w:shd w:fill="EAF4F4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008C8C"/>
                <w:sz w:val="17"/>
              </w:rPr>
              <w:t>BTP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Largest confirmed persona at 25.42%; April independently shows 24.06%, so the result is not driven by one view.</w:t>
            </w:r>
          </w:p>
        </w:tc>
        <w:tc>
          <w:tcPr>
            <w:tcW w:type="dxa" w:w="3496"/>
            <w:shd w:fill="F3F5F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102A43"/>
                <w:sz w:val="17"/>
              </w:rPr>
              <w:t>Start vs Plus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Start supplies 44.49% through scale; Plus supplies 26.98% at €279.26 cumulative revenue per revenue company.</w:t>
            </w:r>
          </w:p>
        </w:tc>
        <w:tc>
          <w:tcPr>
            <w:tcW w:type="dxa" w:w="3496"/>
            <w:shd w:fill="F3F5F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E9A23B"/>
                <w:sz w:val="17"/>
              </w:rPr>
              <w:t>Current economics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In April, interchange is 42.0% and deposit interest 28.7% of revenue; subscriptions alone are 21.0%.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color="D8DEE3"/>
          <w:left w:val="single" w:sz="3" w:color="D8DEE3"/>
          <w:bottom w:val="single" w:sz="3" w:color="D8DEE3"/>
          <w:right w:val="single" w:sz="3" w:color="D8DEE3"/>
          <w:insideH w:val="single" w:sz="3" w:color="D8DEE3"/>
          <w:insideV w:val="single" w:sz="3" w:color="D8DEE3"/>
        </w:tblBorders>
      </w:tblPr>
      <w:tblGrid>
        <w:gridCol w:w="10375"/>
      </w:tblGrid>
      <w:tr>
        <w:tc>
          <w:tcPr>
            <w:tcW w:type="dxa" w:w="10488"/>
            <w:shd w:fill="F3F5F7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08C8C"/>
                <w:sz w:val="15"/>
              </w:rPr>
              <w:t>Core query pattern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SELECT c.persona, SUM(r.total_revenue),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 xml:space="preserve">       100 * SUM(r.total_revenue) / SUM(SUM(r.total_revenue)) OVER ()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FROM companies c JOIN revenue_with_total r USING (company_profile_id)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212B"/>
                <w:sz w:val="13"/>
              </w:rPr>
              <w:t>WHERE r.revenue_month &lt;= DATE '2026-04-01' GROUP BY c.persona;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Arial" w:hAnsi="Arial"/>
          <w:b/>
          <w:i w:val="0"/>
          <w:color w:val="008C8C"/>
          <w:sz w:val="16"/>
        </w:rPr>
        <w:t>PAGE 2 • RANKED ACTIONS</w:t>
      </w:r>
    </w:p>
    <w:p>
      <w:pPr>
        <w:keepNext/>
        <w:spacing w:after="30"/>
      </w:pPr>
      <w:r>
        <w:rPr>
          <w:rFonts w:ascii="Arial" w:hAnsi="Arial"/>
          <w:b/>
          <w:i w:val="0"/>
          <w:color w:val="102A43"/>
          <w:sz w:val="40"/>
        </w:rPr>
        <w:t>Use simple evidence to choose where to test—not to claim causality</w:t>
      </w:r>
    </w:p>
    <w:p>
      <w:pPr>
        <w:spacing w:after="120"/>
      </w:pPr>
      <w:r>
        <w:rPr>
          <w:rFonts w:ascii="Arial" w:hAnsi="Arial"/>
          <w:b w:val="0"/>
          <w:i w:val="0"/>
          <w:color w:val="5E6C76"/>
          <w:sz w:val="17"/>
        </w:rPr>
        <w:t>Two initiatives, clearly weighted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7" w:color="FFFFFF"/>
          <w:left w:val="single" w:sz="7" w:color="FFFFFF"/>
          <w:bottom w:val="single" w:sz="7" w:color="FFFFFF"/>
          <w:right w:val="single" w:sz="7" w:color="FFFFFF"/>
          <w:insideH w:val="single" w:sz="7" w:color="FFFFFF"/>
          <w:insideV w:val="single" w:sz="7" w:color="FFFFFF"/>
        </w:tblBorders>
      </w:tblPr>
      <w:tblGrid>
        <w:gridCol w:w="624"/>
        <w:gridCol w:w="2324"/>
        <w:gridCol w:w="3969"/>
        <w:gridCol w:w="3458"/>
      </w:tblGrid>
      <w:tr>
        <w:tc>
          <w:tcPr>
            <w:tcW w:type="dxa" w:w="262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008C8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1</w:t>
            </w:r>
          </w:p>
        </w:tc>
        <w:tc>
          <w:tcPr>
            <w:tcW w:type="dxa" w:w="262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4F4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102A43"/>
                <w:sz w:val="18"/>
              </w:rPr>
              <w:t>BTP-fit activation test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5E6C76"/>
                <w:sz w:val="15"/>
              </w:rPr>
              <w:t>Test one relevant workflow—such as invoicing, collection, expense control, or cash-flow alerts—against business-as-usual.</w:t>
            </w:r>
          </w:p>
        </w:tc>
        <w:tc>
          <w:tcPr>
            <w:tcW w:type="dxa" w:w="262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008C8C"/>
                <w:sz w:val="15"/>
              </w:rPr>
              <w:t>Raw evidence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BTP is 24.06% of April revenue and 25.42% of cumulative confirmed revenue.</w:t>
            </w:r>
          </w:p>
        </w:tc>
        <w:tc>
          <w:tcPr>
            <w:tcW w:type="dxa" w:w="262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C95C3D"/>
                <w:sz w:val="15"/>
              </w:rPr>
              <w:t>Important limit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Raw revenue cannot show product use, CAC, margin, current plan, or whether existing BTP marketing created the result.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7" w:color="FFFFFF"/>
          <w:left w:val="single" w:sz="7" w:color="FFFFFF"/>
          <w:bottom w:val="single" w:sz="7" w:color="FFFFFF"/>
          <w:right w:val="single" w:sz="7" w:color="FFFFFF"/>
          <w:insideH w:val="single" w:sz="7" w:color="FFFFFF"/>
          <w:insideV w:val="single" w:sz="7" w:color="FFFFFF"/>
        </w:tblBorders>
      </w:tblPr>
      <w:tblGrid>
        <w:gridCol w:w="624"/>
        <w:gridCol w:w="2324"/>
        <w:gridCol w:w="3969"/>
        <w:gridCol w:w="3458"/>
      </w:tblGrid>
      <w:tr>
        <w:tc>
          <w:tcPr>
            <w:tcW w:type="dxa" w:w="262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9A23B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2</w:t>
            </w:r>
          </w:p>
        </w:tc>
        <w:tc>
          <w:tcPr>
            <w:tcW w:type="dxa" w:w="262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3F5F7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102A43"/>
                <w:sz w:val="18"/>
              </w:rPr>
              <w:t>Revenue-decline diagnosis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5E6C76"/>
                <w:sz w:val="15"/>
              </w:rPr>
              <w:t>Use the decline as a diagnostic trigger and investigate the first missing-revenue month; monitor recoveries separately.</w:t>
            </w:r>
          </w:p>
        </w:tc>
        <w:tc>
          <w:tcPr>
            <w:tcW w:type="dxa" w:w="262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008C8C"/>
                <w:sz w:val="15"/>
              </w:rPr>
              <w:t>Raw evidence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1,543 of 13,189 March-April active companies (11.70%) fell ≥30% and €10; 424 had a first April gap.</w:t>
            </w:r>
          </w:p>
        </w:tc>
        <w:tc>
          <w:tcPr>
            <w:tcW w:type="dxa" w:w="262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C95C3D"/>
                <w:sz w:val="15"/>
              </w:rPr>
              <w:t>Important limit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Two months are noisy. This is not churn, forecast loss, or proof that outreach will recover revenue.</w:t>
            </w:r>
          </w:p>
        </w:tc>
      </w:tr>
    </w:tbl>
    <w:p>
      <w:pPr>
        <w:spacing w:after="0"/>
      </w:pP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336000" cy="22870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ple_raw_trend_and_dec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287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Arial" w:hAnsi="Arial"/>
          <w:b/>
          <w:i w:val="0"/>
          <w:color w:val="102A43"/>
          <w:sz w:val="21"/>
        </w:rPr>
        <w:t>Alternatives considered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color="D8DEE3"/>
          <w:left w:val="single" w:sz="3" w:color="D8DEE3"/>
          <w:bottom w:val="single" w:sz="3" w:color="D8DEE3"/>
          <w:right w:val="single" w:sz="3" w:color="D8DEE3"/>
          <w:insideH w:val="single" w:sz="3" w:color="D8DEE3"/>
          <w:insideV w:val="single" w:sz="3" w:color="D8DEE3"/>
        </w:tblBorders>
      </w:tblPr>
      <w:tblGrid>
        <w:gridCol w:w="2608"/>
        <w:gridCol w:w="7767"/>
      </w:tblGrid>
      <w:tr>
        <w:trPr>
          <w:tblHeader w:val="true"/>
        </w:trPr>
        <w:tc>
          <w:tcPr>
            <w:tcW w:type="dxa" w:w="5244"/>
            <w:shd w:fill="102A4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Alternative</w:t>
            </w:r>
          </w:p>
        </w:tc>
        <w:tc>
          <w:tcPr>
            <w:tcW w:type="dxa" w:w="5244"/>
            <w:shd w:fill="102A4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Why it is not the lead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52" w:type="dxa"/>
              <w:start w:w="85" w:type="dxa"/>
              <w:bottom w:w="52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02A43"/>
                <w:sz w:val="14"/>
              </w:rPr>
              <w:t>Acquire Business</w:t>
            </w:r>
          </w:p>
        </w:tc>
        <w:tc>
          <w:tcPr>
            <w:tcW w:type="dxa" w:w="7767"/>
            <w:shd w:fill="FFFFFF"/>
            <w:tcMar>
              <w:top w:w="52" w:type="dxa"/>
              <w:start w:w="85" w:type="dxa"/>
              <w:bottom w:w="52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High revenue/company, but only 262 April revenue companies and 6.79% of April revenue.</w:t>
            </w:r>
          </w:p>
        </w:tc>
      </w:tr>
      <w:tr>
        <w:trPr>
          <w:cantSplit/>
        </w:trPr>
        <w:tc>
          <w:tcPr>
            <w:tcW w:type="dxa" w:w="2608"/>
            <w:shd w:fill="F3F5F7"/>
            <w:tcMar>
              <w:top w:w="52" w:type="dxa"/>
              <w:start w:w="85" w:type="dxa"/>
              <w:bottom w:w="52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02A43"/>
                <w:sz w:val="14"/>
              </w:rPr>
              <w:t>Immediate plan upsell</w:t>
            </w:r>
          </w:p>
        </w:tc>
        <w:tc>
          <w:tcPr>
            <w:tcW w:type="dxa" w:w="7767"/>
            <w:shd w:fill="F3F5F7"/>
            <w:tcMar>
              <w:top w:w="52" w:type="dxa"/>
              <w:start w:w="85" w:type="dxa"/>
              <w:bottom w:w="52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Initial plan is not current plan and correlation is not a causal effect.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52" w:type="dxa"/>
              <w:start w:w="85" w:type="dxa"/>
              <w:bottom w:w="52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02A43"/>
                <w:sz w:val="14"/>
              </w:rPr>
              <w:t>Blanket churn campaign</w:t>
            </w:r>
          </w:p>
        </w:tc>
        <w:tc>
          <w:tcPr>
            <w:tcW w:type="dxa" w:w="7767"/>
            <w:shd w:fill="FFFFFF"/>
            <w:tcMar>
              <w:top w:w="52" w:type="dxa"/>
              <w:start w:w="85" w:type="dxa"/>
              <w:bottom w:w="52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A decline, revenue gap, or company closure does not prove customer churn.</w:t>
            </w:r>
          </w:p>
        </w:tc>
      </w:tr>
      <w:tr>
        <w:trPr>
          <w:cantSplit/>
        </w:trPr>
        <w:tc>
          <w:tcPr>
            <w:tcW w:type="dxa" w:w="2608"/>
            <w:shd w:fill="F3F5F7"/>
            <w:tcMar>
              <w:top w:w="52" w:type="dxa"/>
              <w:start w:w="85" w:type="dxa"/>
              <w:bottom w:w="52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02A43"/>
                <w:sz w:val="14"/>
              </w:rPr>
              <w:t>Headline May</w:t>
            </w:r>
          </w:p>
        </w:tc>
        <w:tc>
          <w:tcPr>
            <w:tcW w:type="dxa" w:w="7767"/>
            <w:shd w:fill="F3F5F7"/>
            <w:tcMar>
              <w:top w:w="52" w:type="dxa"/>
              <w:start w:w="85" w:type="dxa"/>
              <w:bottom w:w="52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May revenue is retained as sensitivity, but signup coverage is incomplete.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Arial" w:hAnsi="Arial"/>
          <w:b/>
          <w:i w:val="0"/>
          <w:color w:val="008C8C"/>
          <w:sz w:val="16"/>
        </w:rPr>
        <w:t>PAGE 3 • TRANSPARENCY AND PROOF</w:t>
      </w:r>
    </w:p>
    <w:p>
      <w:pPr>
        <w:keepNext/>
        <w:spacing w:after="30"/>
      </w:pPr>
      <w:r>
        <w:rPr>
          <w:rFonts w:ascii="Arial" w:hAnsi="Arial"/>
          <w:b/>
          <w:i w:val="0"/>
          <w:color w:val="102A43"/>
          <w:sz w:val="40"/>
        </w:rPr>
        <w:t>Start simple; use advanced SQL to test whether the story survives</w:t>
      </w:r>
    </w:p>
    <w:p>
      <w:pPr>
        <w:spacing w:after="120"/>
      </w:pPr>
      <w:r>
        <w:rPr>
          <w:rFonts w:ascii="Arial" w:hAnsi="Arial"/>
          <w:b w:val="0"/>
          <w:i w:val="0"/>
          <w:color w:val="5E6C76"/>
          <w:sz w:val="17"/>
        </w:rPr>
        <w:t>Raw numbers remain the entry point—the model is the validation layer</w:t>
      </w:r>
    </w:p>
    <w:p>
      <w:pPr>
        <w:keepNext/>
        <w:spacing w:before="0" w:after="60"/>
      </w:pPr>
      <w:r>
        <w:rPr>
          <w:rFonts w:ascii="Arial" w:hAnsi="Arial"/>
          <w:b/>
          <w:i w:val="0"/>
          <w:color w:val="102A43"/>
          <w:sz w:val="21"/>
        </w:rPr>
        <w:t>What each layer answers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color="D8DEE3"/>
          <w:left w:val="single" w:sz="3" w:color="D8DEE3"/>
          <w:bottom w:val="single" w:sz="3" w:color="D8DEE3"/>
          <w:right w:val="single" w:sz="3" w:color="D8DEE3"/>
          <w:insideH w:val="single" w:sz="3" w:color="D8DEE3"/>
          <w:insideV w:val="single" w:sz="3" w:color="D8DEE3"/>
        </w:tblBorders>
      </w:tblPr>
      <w:tblGrid>
        <w:gridCol w:w="1871"/>
        <w:gridCol w:w="2381"/>
        <w:gridCol w:w="2835"/>
        <w:gridCol w:w="3288"/>
      </w:tblGrid>
      <w:tr>
        <w:trPr>
          <w:tblHeader w:val="true"/>
        </w:trPr>
        <w:tc>
          <w:tcPr>
            <w:tcW w:type="dxa" w:w="2622"/>
            <w:shd w:fill="102A43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Question</w:t>
            </w:r>
          </w:p>
        </w:tc>
        <w:tc>
          <w:tcPr>
            <w:tcW w:type="dxa" w:w="2622"/>
            <w:shd w:fill="102A43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Simple view</w:t>
            </w:r>
          </w:p>
        </w:tc>
        <w:tc>
          <w:tcPr>
            <w:tcW w:type="dxa" w:w="2622"/>
            <w:shd w:fill="102A43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Advanced check</w:t>
            </w:r>
          </w:p>
        </w:tc>
        <w:tc>
          <w:tcPr>
            <w:tcW w:type="dxa" w:w="2622"/>
            <w:shd w:fill="102A43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Where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02A43"/>
                <w:sz w:val="14"/>
              </w:rPr>
              <w:t>Largest persona</w:t>
            </w:r>
          </w:p>
        </w:tc>
        <w:tc>
          <w:tcPr>
            <w:tcW w:type="dxa" w:w="2381"/>
            <w:shd w:fill="FFFFFF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April and cumulative GROUP BY</w:t>
            </w:r>
          </w:p>
        </w:tc>
        <w:tc>
          <w:tcPr>
            <w:tcW w:type="dxa" w:w="2835"/>
            <w:shd w:fill="FFFFFF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Equal-tenure first 3 complete months</w:t>
            </w:r>
          </w:p>
        </w:tc>
        <w:tc>
          <w:tcPr>
            <w:tcW w:type="dxa" w:w="3288"/>
            <w:shd w:fill="FFFFFF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sql/revenue_concentration_analysis.sql</w:t>
            </w:r>
          </w:p>
        </w:tc>
      </w:tr>
      <w:tr>
        <w:trPr>
          <w:cantSplit/>
        </w:trPr>
        <w:tc>
          <w:tcPr>
            <w:tcW w:type="dxa" w:w="1871"/>
            <w:shd w:fill="F3F5F7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02A43"/>
                <w:sz w:val="14"/>
              </w:rPr>
              <w:t>Revenue concentration</w:t>
            </w:r>
          </w:p>
        </w:tc>
        <w:tc>
          <w:tcPr>
            <w:tcW w:type="dxa" w:w="2381"/>
            <w:shd w:fill="F3F5F7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Not used to pick the segment</w:t>
            </w:r>
          </w:p>
        </w:tc>
        <w:tc>
          <w:tcPr>
            <w:tcW w:type="dxa" w:w="2835"/>
            <w:shd w:fill="F3F5F7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Top-10/top-20 and Pareto sensitivities</w:t>
            </w:r>
          </w:p>
        </w:tc>
        <w:tc>
          <w:tcPr>
            <w:tcW w:type="dxa" w:w="3288"/>
            <w:shd w:fill="F3F5F7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sql/revenue_concentration_analysis.sql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02A43"/>
                <w:sz w:val="14"/>
              </w:rPr>
              <w:t>Account health</w:t>
            </w:r>
          </w:p>
        </w:tc>
        <w:tc>
          <w:tcPr>
            <w:tcW w:type="dxa" w:w="2381"/>
            <w:shd w:fill="FFFFFF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March-to-April decline</w:t>
            </w:r>
          </w:p>
        </w:tc>
        <w:tc>
          <w:tcPr>
            <w:tcW w:type="dxa" w:w="2835"/>
            <w:shd w:fill="FFFFFF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Trailing median + continuity states</w:t>
            </w:r>
          </w:p>
        </w:tc>
        <w:tc>
          <w:tcPr>
            <w:tcW w:type="dxa" w:w="3288"/>
            <w:shd w:fill="FFFFFF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sql/presentation_kpis.sql</w:t>
            </w:r>
          </w:p>
        </w:tc>
      </w:tr>
      <w:tr>
        <w:trPr>
          <w:cantSplit/>
        </w:trPr>
        <w:tc>
          <w:tcPr>
            <w:tcW w:type="dxa" w:w="1871"/>
            <w:shd w:fill="F3F5F7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02A43"/>
                <w:sz w:val="14"/>
              </w:rPr>
              <w:t>Inactivity</w:t>
            </w:r>
          </w:p>
        </w:tc>
        <w:tc>
          <w:tcPr>
            <w:tcW w:type="dxa" w:w="2381"/>
            <w:shd w:fill="F3F5F7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Missing revenue row</w:t>
            </w:r>
          </w:p>
        </w:tc>
        <w:tc>
          <w:tcPr>
            <w:tcW w:type="dxa" w:w="2835"/>
            <w:shd w:fill="F3F5F7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Return curve and lifecycle states</w:t>
            </w:r>
          </w:p>
        </w:tc>
        <w:tc>
          <w:tcPr>
            <w:tcW w:type="dxa" w:w="3288"/>
            <w:shd w:fill="F3F5F7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sql/kpi_deep_dive.sql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02A43"/>
                <w:sz w:val="14"/>
              </w:rPr>
              <w:t>Cohorts</w:t>
            </w:r>
          </w:p>
        </w:tc>
        <w:tc>
          <w:tcPr>
            <w:tcW w:type="dxa" w:w="2381"/>
            <w:shd w:fill="FFFFFF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Not answered</w:t>
            </w:r>
          </w:p>
        </w:tc>
        <w:tc>
          <w:tcPr>
            <w:tcW w:type="dxa" w:w="2835"/>
            <w:shd w:fill="FFFFFF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Equal-age cohort transitions</w:t>
            </w:r>
          </w:p>
        </w:tc>
        <w:tc>
          <w:tcPr>
            <w:tcW w:type="dxa" w:w="3288"/>
            <w:shd w:fill="FFFFFF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sql/cohort_state_analysis.sql</w:t>
            </w:r>
          </w:p>
        </w:tc>
      </w:tr>
      <w:tr>
        <w:trPr>
          <w:cantSplit/>
        </w:trPr>
        <w:tc>
          <w:tcPr>
            <w:tcW w:type="dxa" w:w="1871"/>
            <w:shd w:fill="F3F5F7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02A43"/>
                <w:sz w:val="14"/>
              </w:rPr>
              <w:t>Loyalty</w:t>
            </w:r>
          </w:p>
        </w:tc>
        <w:tc>
          <w:tcPr>
            <w:tcW w:type="dxa" w:w="2381"/>
            <w:shd w:fill="F3F5F7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Not answered</w:t>
            </w:r>
          </w:p>
        </w:tc>
        <w:tc>
          <w:tcPr>
            <w:tcW w:type="dxa" w:w="2835"/>
            <w:shd w:fill="F3F5F7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Streak persistence and restart</w:t>
            </w:r>
          </w:p>
        </w:tc>
        <w:tc>
          <w:tcPr>
            <w:tcW w:type="dxa" w:w="3288"/>
            <w:shd w:fill="F3F5F7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sql/streak_analysis.sql</w:t>
            </w:r>
          </w:p>
        </w:tc>
      </w:tr>
    </w:tbl>
    <w:p>
      <w:pPr>
        <w:keepNext/>
        <w:spacing w:before="60" w:after="60"/>
      </w:pPr>
      <w:r>
        <w:rPr>
          <w:rFonts w:ascii="Arial" w:hAnsi="Arial"/>
          <w:b/>
          <w:i w:val="0"/>
          <w:color w:val="102A43"/>
          <w:sz w:val="21"/>
        </w:rPr>
        <w:t>The useful triangulation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7" w:color="FFFFFF"/>
          <w:left w:val="single" w:sz="7" w:color="FFFFFF"/>
          <w:bottom w:val="single" w:sz="7" w:color="FFFFFF"/>
          <w:right w:val="single" w:sz="7" w:color="FFFFFF"/>
          <w:insideH w:val="single" w:sz="7" w:color="FFFFFF"/>
          <w:insideV w:val="single" w:sz="7" w:color="FFFFFF"/>
        </w:tblBorders>
      </w:tblPr>
      <w:tblGrid>
        <w:gridCol w:w="3458"/>
        <w:gridCol w:w="3458"/>
        <w:gridCol w:w="3458"/>
      </w:tblGrid>
      <w:tr>
        <w:tc>
          <w:tcPr>
            <w:tcW w:type="dxa" w:w="3496"/>
            <w:shd w:fill="F3F5F7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A43"/>
                <w:sz w:val="32"/>
              </w:rPr>
              <w:t>24.06%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6"/>
              </w:rPr>
              <w:t>BTP share in April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E6C76"/>
                <w:sz w:val="14"/>
              </w:rPr>
              <w:t>simple current snapshot</w:t>
            </w:r>
          </w:p>
        </w:tc>
        <w:tc>
          <w:tcPr>
            <w:tcW w:type="dxa" w:w="3496"/>
            <w:shd w:fill="F3F5F7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A43"/>
                <w:sz w:val="32"/>
              </w:rPr>
              <w:t>25.42%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6"/>
              </w:rPr>
              <w:t>BTP share through April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E6C76"/>
                <w:sz w:val="14"/>
              </w:rPr>
              <w:t>simple cumulative view</w:t>
            </w:r>
          </w:p>
        </w:tc>
        <w:tc>
          <w:tcPr>
            <w:tcW w:type="dxa" w:w="3496"/>
            <w:shd w:fill="EAF4F4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8C8C"/>
                <w:sz w:val="32"/>
              </w:rPr>
              <w:t>26.74%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6"/>
              </w:rPr>
              <w:t>BTP equal-tenure share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E6C76"/>
                <w:sz w:val="14"/>
              </w:rPr>
              <w:t>advanced confirmation</w:t>
            </w:r>
          </w:p>
        </w:tc>
      </w:tr>
    </w:tbl>
    <w:p>
      <w:pPr>
        <w:keepNext/>
        <w:spacing w:before="60" w:after="60"/>
      </w:pPr>
      <w:r>
        <w:rPr>
          <w:rFonts w:ascii="Arial" w:hAnsi="Arial"/>
          <w:b/>
          <w:i w:val="0"/>
          <w:color w:val="102A43"/>
          <w:sz w:val="21"/>
        </w:rPr>
        <w:t>Lead experiment and validation</w:t>
      </w:r>
    </w:p>
    <w:p>
      <w:pPr>
        <w:pStyle w:val="ListBullet"/>
        <w:spacing w:after="30" w:line="240" w:lineRule="auto"/>
        <w:ind w:left="255" w:hanging="125"/>
      </w:pPr>
      <w:r>
        <w:rPr>
          <w:rFonts w:ascii="Arial" w:hAnsi="Arial"/>
          <w:b w:val="0"/>
          <w:i w:val="0"/>
          <w:color w:val="17212B"/>
          <w:sz w:val="16"/>
        </w:rPr>
        <w:t>Randomise eligible BTP companies to one defined workflow versus business-as-usual; do not target on persona alone.</w:t>
      </w:r>
    </w:p>
    <w:p>
      <w:pPr>
        <w:pStyle w:val="ListBullet"/>
        <w:spacing w:after="30" w:line="240" w:lineRule="auto"/>
        <w:ind w:left="255" w:hanging="125"/>
      </w:pPr>
      <w:r>
        <w:rPr>
          <w:rFonts w:ascii="Arial" w:hAnsi="Arial"/>
          <w:b w:val="0"/>
          <w:i w:val="0"/>
          <w:color w:val="17212B"/>
          <w:sz w:val="16"/>
        </w:rPr>
        <w:t>Measure incremental recognized revenue over 90 days, feature adoption, and account-health guardrails.</w:t>
      </w:r>
    </w:p>
    <w:p>
      <w:pPr>
        <w:pStyle w:val="ListBullet"/>
        <w:spacing w:after="30" w:line="240" w:lineRule="auto"/>
        <w:ind w:left="255" w:hanging="125"/>
      </w:pPr>
      <w:r>
        <w:rPr>
          <w:rFonts w:ascii="Arial" w:hAnsi="Arial"/>
          <w:b w:val="0"/>
          <w:i w:val="0"/>
          <w:color w:val="17212B"/>
          <w:sz w:val="16"/>
        </w:rPr>
        <w:t>Validate missing-row meaning, current plan, product use, channel/CAC, margin, BTP definition, and permitted KYB use.</w:t>
      </w:r>
    </w:p>
    <w:p>
      <w:pPr>
        <w:spacing w:before="60" w:after="20"/>
      </w:pPr>
      <w:r>
        <w:rPr>
          <w:rFonts w:ascii="Arial" w:hAnsi="Arial"/>
          <w:b/>
          <w:i w:val="0"/>
          <w:color w:val="008C8C"/>
          <w:sz w:val="15"/>
        </w:rPr>
        <w:t xml:space="preserve">Simple SQL appendix: </w:t>
      </w:r>
      <w:r>
        <w:rPr>
          <w:rFonts w:ascii="Arial" w:hAnsi="Arial"/>
          <w:b w:val="0"/>
          <w:i w:val="0"/>
          <w:color w:val="17212B"/>
          <w:sz w:val="15"/>
        </w:rPr>
        <w:t>sql/simple_raw_memo_queries.sql</w:t>
      </w:r>
    </w:p>
    <w:p>
      <w:pPr>
        <w:spacing w:after="20"/>
      </w:pPr>
      <w:r>
        <w:rPr>
          <w:rFonts w:ascii="Arial" w:hAnsi="Arial"/>
          <w:b/>
          <w:i w:val="0"/>
          <w:color w:val="008C8C"/>
          <w:sz w:val="15"/>
        </w:rPr>
        <w:t xml:space="preserve">Advanced SQL: </w:t>
      </w:r>
      <w:r>
        <w:rPr>
          <w:rFonts w:ascii="Arial" w:hAnsi="Arial"/>
          <w:b w:val="0"/>
          <w:i w:val="0"/>
          <w:color w:val="5E6C76"/>
          <w:sz w:val="14"/>
        </w:rPr>
        <w:t>revenue_concentration_analysis.sql • presentation_kpis.sql • cohort_state_analysis.sql • streak_analysis.sql • kpi_deep_dive.sql</w:t>
      </w:r>
    </w:p>
    <w:p>
      <w:pPr>
        <w:spacing w:after="0"/>
      </w:pPr>
      <w:r>
        <w:rPr>
          <w:rFonts w:ascii="Arial" w:hAnsi="Arial"/>
          <w:b/>
          <w:i w:val="0"/>
          <w:color w:val="008C8C"/>
          <w:sz w:val="15"/>
        </w:rPr>
        <w:t xml:space="preserve">External context: </w:t>
      </w:r>
      <w:r>
        <w:rPr>
          <w:rFonts w:ascii="Arial" w:hAnsi="Arial"/>
          <w:b w:val="0"/>
          <w:i w:val="0"/>
          <w:color w:val="5E6C76"/>
          <w:sz w:val="14"/>
        </w:rPr>
        <w:t>docs/research/SHINE_MARKET_RESEARCH_AND_STRATEGY.md</w:t>
      </w:r>
    </w:p>
    <w:sectPr w:rsidR="00FC693F" w:rsidRPr="0006063C" w:rsidSect="00034616">
      <w:footerReference w:type="default" r:id="rId9"/>
      <w:pgSz w:w="11906" w:h="16838"/>
      <w:pgMar w:top="652" w:right="709" w:bottom="595" w:left="709" w:header="227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i w:val="0"/>
        <w:color w:val="5E6C76"/>
        <w:sz w:val="14"/>
      </w:rPr>
      <w:t xml:space="preserve">SHINE CASE  •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rial" w:hAnsi="Arial"/>
      <w:color w:val="1721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Shine — Simple raw-data revenue memo</dc:title>
  <dc:subject>Three-page memo using base tables and simple SQL</dc:subject>
  <dc:creator>Candidate analysis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