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i w:val="0"/>
          <w:color w:val="008C8C"/>
          <w:sz w:val="16"/>
        </w:rPr>
        <w:t>PAGE 1 • POSITION AND MAGNITUDE</w:t>
      </w:r>
    </w:p>
    <w:p>
      <w:pPr>
        <w:keepNext/>
        <w:spacing w:after="30"/>
      </w:pPr>
      <w:r>
        <w:rPr>
          <w:rFonts w:ascii="Arial" w:hAnsi="Arial"/>
          <w:b/>
          <w:i w:val="0"/>
          <w:color w:val="102A43"/>
          <w:sz w:val="40"/>
        </w:rPr>
        <w:t>Revenue deterioration is the clearest near-term risk</w:t>
      </w:r>
    </w:p>
    <w:p>
      <w:pPr>
        <w:spacing w:after="120"/>
      </w:pPr>
      <w:r>
        <w:rPr>
          <w:rFonts w:ascii="Arial" w:hAnsi="Arial"/>
          <w:b w:val="0"/>
          <w:i w:val="0"/>
          <w:color w:val="5E6C76"/>
          <w:sz w:val="17"/>
        </w:rPr>
        <w:t>Confirmed analysis through April 2026 • May excluded because signup coverage is truncated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type="dxa" w:w="10488"/>
            <w:shd w:fill="102A43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Among 6,337 mature companies, 1,909 (30.1%) are in Declining + inactive. The immediate test group is narrower: 953 (15.0%) are either Material Watch or At-risk, where Shine can intervene before a longer period without revenue.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shd w:fill="F3F5F7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8C8C"/>
                <w:sz w:val="30"/>
              </w:rPr>
              <w:t>6,337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mature companies assessed</w:t>
            </w:r>
          </w:p>
        </w:tc>
        <w:tc>
          <w:tcPr>
            <w:tcW w:type="dxa" w:w="2622"/>
            <w:shd w:fill="EAF4F4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8C8C"/>
                <w:sz w:val="30"/>
              </w:rPr>
              <w:t>30.1%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Declining + inactive</w:t>
            </w:r>
          </w:p>
        </w:tc>
        <w:tc>
          <w:tcPr>
            <w:tcW w:type="dxa" w:w="2622"/>
            <w:shd w:fill="F3F5F7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8C8C"/>
                <w:sz w:val="30"/>
              </w:rPr>
              <w:t>10.6%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Material Watch • N=673</w:t>
            </w:r>
          </w:p>
        </w:tc>
        <w:tc>
          <w:tcPr>
            <w:tcW w:type="dxa" w:w="2622"/>
            <w:shd w:fill="EAF4F4"/>
            <w:tcMar>
              <w:top w:w="90" w:type="dxa"/>
              <w:start w:w="65" w:type="dxa"/>
              <w:bottom w:w="9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8C8C"/>
                <w:sz w:val="30"/>
              </w:rPr>
              <w:t>4.4%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At-risk • N=280</w:t>
            </w:r>
          </w:p>
        </w:tc>
      </w:tr>
    </w:tbl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6372000" cy="1961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opportunity_rank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19616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3E8"/>
          <w:left w:val="single" w:sz="4" w:color="DDE3E8"/>
          <w:bottom w:val="single" w:sz="4" w:color="DDE3E8"/>
          <w:right w:val="single" w:sz="4" w:color="DDE3E8"/>
          <w:insideH w:val="single" w:sz="4" w:color="DDE3E8"/>
          <w:insideV w:val="single" w:sz="4" w:color="DDE3E8"/>
        </w:tblBorders>
      </w:tblPr>
      <w:tblGrid>
        <w:gridCol w:w="10375"/>
      </w:tblGrid>
      <w:tr>
        <w:tc>
          <w:tcPr>
            <w:tcW w:type="dxa" w:w="10488"/>
            <w:tcMar>
              <w:top w:w="55" w:type="dxa"/>
              <w:start w:w="100" w:type="dxa"/>
              <w:bottom w:w="55" w:type="dxa"/>
              <w:end w:w="100" w:type="dxa"/>
            </w:tcMar>
            <w:shd w:fill="F3F5F7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color w:val="5E6C76"/>
                <w:sz w:val="14"/>
              </w:rPr>
              <w:t>Why this window: revenue is supplied only by calendar month. For a company activated late in month 0, the table cannot separate pre- and post-activation days. We therefore exclude month 0 and compare months 1-3, the first three complete calendar months. An exact 90-day window would require daily revenue.</w:t>
            </w:r>
          </w:p>
        </w:tc>
      </w:tr>
    </w:tbl>
    <w:p>
      <w:pPr>
        <w:keepNext/>
        <w:spacing w:before="40" w:after="60"/>
      </w:pPr>
      <w:r>
        <w:rPr>
          <w:rFonts w:ascii="Arial" w:hAnsi="Arial"/>
          <w:b/>
          <w:i w:val="0"/>
          <w:color w:val="102A43"/>
          <w:sz w:val="21"/>
        </w:rPr>
        <w:t>What the data shows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5187"/>
        <w:gridCol w:w="5187"/>
      </w:tblGrid>
      <w:tr>
        <w:tc>
          <w:tcPr>
            <w:tcW w:type="dxa" w:w="5244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AF4F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08C8C"/>
                <w:sz w:val="15"/>
              </w:rPr>
              <w:t>LEAD OPPORTUNITY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7212B"/>
                <w:sz w:val="17"/>
              </w:rPr>
              <w:t>Intervene while an account is still revenue-active but materially declining, or immediately after its first revenue-free month.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Prioritise the largest exposures first; use low-cost automation for the long tail.</w:t>
            </w:r>
          </w:p>
        </w:tc>
        <w:tc>
          <w:tcPr>
            <w:tcW w:type="dxa" w:w="5244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5F7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C95C3D"/>
                <w:sz w:val="15"/>
              </w:rPr>
              <w:t>RISK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7212B"/>
                <w:sz w:val="17"/>
              </w:rPr>
              <w:t>Declining + inactive is a screening group—not one account state and not confirmed churn.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It also contains Declining &lt;€10 and Churned proxy, which should receive lower-cost or lower-priority treatment.</w:t>
            </w:r>
          </w:p>
        </w:tc>
      </w:tr>
    </w:tbl>
    <w:p>
      <w:pPr>
        <w:keepNext/>
        <w:spacing w:before="60" w:after="60"/>
      </w:pPr>
      <w:r>
        <w:rPr>
          <w:rFonts w:ascii="Arial" w:hAnsi="Arial"/>
          <w:b/>
          <w:i w:val="0"/>
          <w:color w:val="102A43"/>
          <w:sz w:val="21"/>
        </w:rPr>
        <w:t>How to read the ranking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E3E8"/>
          <w:left w:val="single" w:sz="4" w:color="DDE3E8"/>
          <w:bottom w:val="single" w:sz="4" w:color="DDE3E8"/>
          <w:right w:val="single" w:sz="4" w:color="DDE3E8"/>
          <w:insideH w:val="single" w:sz="4" w:color="DDE3E8"/>
          <w:insideV w:val="single" w:sz="4" w:color="DDE3E8"/>
        </w:tblBorders>
      </w:tblPr>
      <w:tblGrid>
        <w:gridCol w:w="5187"/>
        <w:gridCol w:w="5187"/>
      </w:tblGrid>
      <w:tr>
        <w:tc>
          <w:tcPr>
            <w:tcW w:type="dxa" w:w="5244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02A43"/>
                <w:sz w:val="15"/>
              </w:rPr>
              <w:t xml:space="preserve">Bar length: </w:t>
            </w: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share of revenue across the complete 9,088-company base</w:t>
            </w:r>
          </w:p>
        </w:tc>
        <w:tc>
          <w:tcPr>
            <w:tcW w:type="dxa" w:w="5244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02A43"/>
                <w:sz w:val="15"/>
              </w:rPr>
              <w:t xml:space="preserve">Bar color: </w:t>
            </w: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average revenue/company versus overall; teal means at least 1.2×</w:t>
            </w:r>
          </w:p>
        </w:tc>
      </w:tr>
      <w:tr>
        <w:tc>
          <w:tcPr>
            <w:tcW w:type="dxa" w:w="5244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02A43"/>
                <w:sz w:val="15"/>
              </w:rPr>
              <w:t xml:space="preserve">N: </w:t>
            </w: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eligible companies with three complete post-activation months</w:t>
            </w:r>
          </w:p>
        </w:tc>
        <w:tc>
          <w:tcPr>
            <w:tcW w:type="dxa" w:w="5244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02A43"/>
                <w:sz w:val="15"/>
              </w:rPr>
              <w:t xml:space="preserve">No composite score: </w:t>
            </w: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leadership can see the scale-efficiency trade-off directly</w:t>
            </w:r>
          </w:p>
        </w:tc>
      </w:tr>
    </w:tbl>
    <w:p>
      <w:pPr>
        <w:spacing w:before="60" w:after="0"/>
      </w:pPr>
      <w:r>
        <w:rPr>
          <w:rFonts w:ascii="Arial" w:hAnsi="Arial"/>
          <w:b/>
          <w:i w:val="0"/>
          <w:color w:val="008C8C"/>
          <w:sz w:val="18"/>
        </w:rPr>
        <w:t xml:space="preserve">Decision: </w:t>
      </w:r>
      <w:r>
        <w:rPr>
          <w:rFonts w:ascii="Arial" w:hAnsi="Arial"/>
          <w:b w:val="0"/>
          <w:i w:val="0"/>
          <w:color w:val="17212B"/>
          <w:sz w:val="18"/>
        </w:rPr>
        <w:t>lead with a controlled experiment for Material Watch and At-risk companies. Prioritise by gross exposure and expected recovery—not persona alone—and keep BTP discovery second.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008C8C"/>
          <w:sz w:val="16"/>
        </w:rPr>
        <w:t>PAGE 2 • RANKED DECISIONS</w:t>
      </w:r>
    </w:p>
    <w:p>
      <w:pPr>
        <w:keepNext/>
        <w:spacing w:after="30"/>
      </w:pPr>
      <w:r>
        <w:rPr>
          <w:rFonts w:ascii="Arial" w:hAnsi="Arial"/>
          <w:b/>
          <w:i w:val="0"/>
          <w:color w:val="102A43"/>
          <w:sz w:val="40"/>
        </w:rPr>
        <w:t>Two initiatives, clearly weighted</w:t>
      </w:r>
    </w:p>
    <w:p>
      <w:pPr>
        <w:spacing w:after="120"/>
      </w:pPr>
      <w:r>
        <w:rPr>
          <w:rFonts w:ascii="Arial" w:hAnsi="Arial"/>
          <w:b w:val="0"/>
          <w:i w:val="0"/>
          <w:color w:val="5E6C76"/>
          <w:sz w:val="17"/>
        </w:rPr>
        <w:t>Ranked by observable scale, value concentration, health, and actionability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FFFFFF"/>
          <w:left w:val="single" w:sz="7" w:color="FFFFFF"/>
          <w:bottom w:val="single" w:sz="7" w:color="FFFFFF"/>
          <w:right w:val="single" w:sz="7" w:color="FFFFFF"/>
          <w:insideH w:val="single" w:sz="7" w:color="FFFFFF"/>
          <w:insideV w:val="single" w:sz="7" w:color="FFFFFF"/>
        </w:tblBorders>
      </w:tblPr>
      <w:tblGrid>
        <w:gridCol w:w="624"/>
        <w:gridCol w:w="2381"/>
        <w:gridCol w:w="4195"/>
        <w:gridCol w:w="3175"/>
      </w:tblGrid>
      <w:tr>
        <w:tc>
          <w:tcPr>
            <w:tcW w:type="dxa" w:w="2622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008C8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1</w:t>
            </w:r>
          </w:p>
        </w:tc>
        <w:tc>
          <w:tcPr>
            <w:tcW w:type="dxa" w:w="2622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EAF4F4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8"/>
              </w:rPr>
              <w:t>Revenue-deterioration &amp; first-gap protection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Diagnose material declines while revenue is still active and support accounts after their first missing month; use state-specific treatments.</w:t>
            </w:r>
          </w:p>
        </w:tc>
        <w:tc>
          <w:tcPr>
            <w:tcW w:type="dxa" w:w="2622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08C8C"/>
                <w:sz w:val="15"/>
              </w:rPr>
              <w:t>OBSERVABLE MAGNITUDE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Material Watch is 10.6% (N=673) and At-risk is 4.4% (N=280): together 15.0% of mature companies (N=953). Their gross exposure proxy is €51.1k; illustrative 10–20% recovery is €5.1k–€10.2k/month before cost—not a forecast.</w:t>
            </w:r>
          </w:p>
        </w:tc>
        <w:tc>
          <w:tcPr>
            <w:tcW w:type="dxa" w:w="2622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C95C3D"/>
                <w:sz w:val="15"/>
              </w:rPr>
              <w:t>LIMIT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Exposure is not recoverable revenue. Product usage, cause, recovery probability, contribution margin, and treatment cost are missing.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FFFFFF"/>
          <w:left w:val="single" w:sz="7" w:color="FFFFFF"/>
          <w:bottom w:val="single" w:sz="7" w:color="FFFFFF"/>
          <w:right w:val="single" w:sz="7" w:color="FFFFFF"/>
          <w:insideH w:val="single" w:sz="7" w:color="FFFFFF"/>
          <w:insideV w:val="single" w:sz="7" w:color="FFFFFF"/>
        </w:tblBorders>
      </w:tblPr>
      <w:tblGrid>
        <w:gridCol w:w="624"/>
        <w:gridCol w:w="2381"/>
        <w:gridCol w:w="4195"/>
        <w:gridCol w:w="3175"/>
      </w:tblGrid>
      <w:tr>
        <w:tc>
          <w:tcPr>
            <w:tcW w:type="dxa" w:w="2622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E9A23B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2</w:t>
            </w:r>
          </w:p>
        </w:tc>
        <w:tc>
          <w:tcPr>
            <w:tcW w:type="dxa" w:w="2622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F3F5F7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8"/>
              </w:rPr>
              <w:t>BTP product-fit discovery experiment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color w:val="5E6C76"/>
                <w:sz w:val="15"/>
              </w:rPr>
              <w:t>Validate which BTP needs and product behaviours drive value before scaling acquisition, workflow activation, or upsell.</w:t>
            </w:r>
          </w:p>
        </w:tc>
        <w:tc>
          <w:tcPr>
            <w:tcW w:type="dxa" w:w="2622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08C8C"/>
                <w:sz w:val="15"/>
              </w:rPr>
              <w:t>OBSERVABLE MAGNITUDE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BTP contributes 26.74% of comparable revenue (N=1,642; €178.85/company; 1.48× overall), combining attractive scale and efficiency.</w:t>
            </w:r>
          </w:p>
        </w:tc>
        <w:tc>
          <w:tcPr>
            <w:tcW w:type="dxa" w:w="2622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C95C3D"/>
                <w:sz w:val="15"/>
              </w:rPr>
              <w:t>LIMIT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No product-use, current-plan, CAC, margin, or acquisition-channel data identifies a causal lever; sector and product constraints cap extrapolation.</w:t>
            </w:r>
          </w:p>
        </w:tc>
      </w:tr>
    </w:tbl>
    <w:p>
      <w:pPr>
        <w:spacing w:after="0"/>
      </w:pPr>
    </w:p>
    <w:p>
      <w:pPr>
        <w:spacing w:before="20" w:after="20"/>
      </w:pPr>
      <w:r>
        <w:rPr>
          <w:rFonts w:ascii="Arial" w:hAnsi="Arial"/>
          <w:b/>
          <w:i w:val="0"/>
          <w:color w:val="008C8C"/>
          <w:sz w:val="14"/>
        </w:rPr>
        <w:t xml:space="preserve">External pressure test: </w:t>
      </w:r>
      <w:r>
        <w:rPr>
          <w:rFonts w:ascii="Arial" w:hAnsi="Arial"/>
          <w:b w:val="0"/>
          <w:i w:val="0"/>
          <w:color w:val="5E6C76"/>
          <w:sz w:val="14"/>
        </w:rPr>
        <w:t xml:space="preserve">large artisan base and a dedicated Shine offer support fit; BTP contraction, no direct overdraft, and advanced invoicing limits narrow the ideal customer. </w:t>
      </w:r>
      <w:hyperlink r:id="rId11">
        <w:r>
          <w:rPr>
            <w:color w:val="008C8C"/>
            <w:u w:val="single"/>
            <w:sz w:val="14"/>
          </w:rPr>
          <w:t>INSEE</w:t>
        </w:r>
      </w:hyperlink>
      <w:r>
        <w:rPr>
          <w:rFonts w:ascii="Arial" w:hAnsi="Arial"/>
          <w:b w:val="0"/>
          <w:i w:val="0"/>
          <w:color w:val="5E6C76"/>
          <w:sz w:val="14"/>
        </w:rPr>
        <w:t xml:space="preserve"> • </w:t>
      </w:r>
      <w:hyperlink r:id="rId12">
        <w:r>
          <w:rPr>
            <w:color w:val="008C8C"/>
            <w:u w:val="single"/>
            <w:sz w:val="14"/>
          </w:rPr>
          <w:t>Shine BTP</w:t>
        </w:r>
      </w:hyperlink>
      <w:r>
        <w:rPr>
          <w:rFonts w:ascii="Arial" w:hAnsi="Arial"/>
          <w:b w:val="0"/>
          <w:i w:val="0"/>
          <w:color w:val="5E6C76"/>
          <w:sz w:val="14"/>
        </w:rPr>
        <w:t xml:space="preserve"> • </w:t>
      </w:r>
      <w:hyperlink r:id="rId13">
        <w:r>
          <w:rPr>
            <w:color w:val="008C8C"/>
            <w:u w:val="single"/>
            <w:sz w:val="14"/>
          </w:rPr>
          <w:t>CAPEB</w:t>
        </w:r>
      </w:hyperlink>
      <w:r>
        <w:rPr>
          <w:rFonts w:ascii="Arial" w:hAnsi="Arial"/>
          <w:b w:val="0"/>
          <w:i w:val="0"/>
          <w:color w:val="5E6C76"/>
          <w:sz w:val="14"/>
        </w:rPr>
        <w:t xml:space="preserve"> • </w:t>
      </w:r>
      <w:hyperlink r:id="rId14">
        <w:r>
          <w:rPr>
            <w:color w:val="008C8C"/>
            <w:u w:val="single"/>
            <w:sz w:val="14"/>
          </w:rPr>
          <w:t>Product limits</w:t>
        </w:r>
      </w:hyperlink>
    </w:p>
    <w:p>
      <w:pPr>
        <w:keepNext/>
        <w:spacing w:before="40" w:after="60"/>
      </w:pPr>
      <w:r>
        <w:rPr>
          <w:rFonts w:ascii="Arial" w:hAnsi="Arial"/>
          <w:b/>
          <w:i w:val="0"/>
          <w:color w:val="102A43"/>
          <w:sz w:val="21"/>
        </w:rPr>
        <w:t>Health by segment: activated by Dec 2025 (N=6,337)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911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health_stack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9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rFonts w:ascii="Arial" w:hAnsi="Arial"/>
          <w:b/>
          <w:i w:val="0"/>
          <w:color w:val="102A43"/>
          <w:sz w:val="15"/>
        </w:rPr>
        <w:t>Legend definitions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color="DDE3E8"/>
          <w:left w:val="single" w:sz="3" w:color="DDE3E8"/>
          <w:bottom w:val="single" w:sz="3" w:color="DDE3E8"/>
          <w:right w:val="single" w:sz="3" w:color="DDE3E8"/>
          <w:insideH w:val="single" w:sz="3" w:color="DDE3E8"/>
          <w:insideV w:val="single" w:sz="3" w:color="DDE3E8"/>
        </w:tblBorders>
      </w:tblPr>
      <w:tblGrid>
        <w:gridCol w:w="5187"/>
        <w:gridCol w:w="5187"/>
      </w:tblGrid>
      <w:tr>
        <w:trPr>
          <w:cantSplit/>
        </w:trPr>
        <w:tc>
          <w:tcPr>
            <w:tcW w:type="dxa" w:w="5244"/>
            <w:tcMar>
              <w:top w:w="35" w:type="dxa"/>
              <w:start w:w="75" w:type="dxa"/>
              <w:bottom w:w="3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A9D8F"/>
                <w:sz w:val="13"/>
              </w:rPr>
              <w:t xml:space="preserve">Healthy / stable: </w:t>
            </w:r>
            <w:r>
              <w:rPr>
                <w:rFonts w:ascii="Arial" w:hAnsi="Arial"/>
                <w:b w:val="0"/>
                <w:i w:val="0"/>
                <w:color w:val="5E6C76"/>
                <w:sz w:val="13"/>
              </w:rPr>
              <w:t>revenue-active in April, uninterrupted since activation, and without a decline of 30% or more.</w:t>
            </w:r>
          </w:p>
        </w:tc>
        <w:tc>
          <w:tcPr>
            <w:tcW w:type="dxa" w:w="5244"/>
            <w:tcMar>
              <w:top w:w="35" w:type="dxa"/>
              <w:start w:w="75" w:type="dxa"/>
              <w:bottom w:w="3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C58A1D"/>
                <w:sz w:val="13"/>
              </w:rPr>
              <w:t xml:space="preserve">Declining &lt;€10: </w:t>
            </w:r>
            <w:r>
              <w:rPr>
                <w:rFonts w:ascii="Arial" w:hAnsi="Arial"/>
                <w:b w:val="0"/>
                <w:i w:val="0"/>
                <w:color w:val="5E6C76"/>
                <w:sz w:val="13"/>
              </w:rPr>
              <w:t>revenue-active and at least 30% below its prior three-month median, but by less than €10.</w:t>
            </w:r>
          </w:p>
        </w:tc>
      </w:tr>
      <w:tr>
        <w:trPr>
          <w:cantSplit/>
        </w:trPr>
        <w:tc>
          <w:tcPr>
            <w:tcW w:type="dxa" w:w="5244"/>
            <w:tcMar>
              <w:top w:w="35" w:type="dxa"/>
              <w:start w:w="75" w:type="dxa"/>
              <w:bottom w:w="35" w:type="dxa"/>
              <w:end w:w="75" w:type="dxa"/>
            </w:tcMar>
            <w:shd w:fill="F3F5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9A23B"/>
                <w:sz w:val="13"/>
              </w:rPr>
              <w:t xml:space="preserve">Material Watch: </w:t>
            </w:r>
            <w:r>
              <w:rPr>
                <w:rFonts w:ascii="Arial" w:hAnsi="Arial"/>
                <w:b w:val="0"/>
                <w:i w:val="0"/>
                <w:color w:val="5E6C76"/>
                <w:sz w:val="13"/>
              </w:rPr>
              <w:t>revenue-active and at least 30% below its prior three-month median, with a decline of at least €10.</w:t>
            </w:r>
          </w:p>
        </w:tc>
        <w:tc>
          <w:tcPr>
            <w:tcW w:type="dxa" w:w="5244"/>
            <w:tcMar>
              <w:top w:w="35" w:type="dxa"/>
              <w:start w:w="75" w:type="dxa"/>
              <w:bottom w:w="35" w:type="dxa"/>
              <w:end w:w="75" w:type="dxa"/>
            </w:tcMar>
            <w:shd w:fill="F3F5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AED6"/>
                <w:sz w:val="13"/>
              </w:rPr>
              <w:t xml:space="preserve">Recovered: </w:t>
            </w:r>
            <w:r>
              <w:rPr>
                <w:rFonts w:ascii="Arial" w:hAnsi="Arial"/>
                <w:b w:val="0"/>
                <w:i w:val="0"/>
                <w:color w:val="5E6C76"/>
                <w:sz w:val="13"/>
              </w:rPr>
              <w:t>revenue-active again after an observed no-revenue month since activation.</w:t>
            </w:r>
          </w:p>
        </w:tc>
      </w:tr>
      <w:tr>
        <w:trPr>
          <w:cantSplit/>
        </w:trPr>
        <w:tc>
          <w:tcPr>
            <w:tcW w:type="dxa" w:w="5244"/>
            <w:tcMar>
              <w:top w:w="35" w:type="dxa"/>
              <w:start w:w="75" w:type="dxa"/>
              <w:bottom w:w="3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07A3F"/>
                <w:sz w:val="13"/>
              </w:rPr>
              <w:t xml:space="preserve">At-risk: </w:t>
            </w:r>
            <w:r>
              <w:rPr>
                <w:rFonts w:ascii="Arial" w:hAnsi="Arial"/>
                <w:b w:val="0"/>
                <w:i w:val="0"/>
                <w:color w:val="5E6C76"/>
                <w:sz w:val="13"/>
              </w:rPr>
              <w:t>previously monetized, with no observed revenue for one or two months.</w:t>
            </w:r>
          </w:p>
        </w:tc>
        <w:tc>
          <w:tcPr>
            <w:tcW w:type="dxa" w:w="5244"/>
            <w:tcMar>
              <w:top w:w="35" w:type="dxa"/>
              <w:start w:w="75" w:type="dxa"/>
              <w:bottom w:w="3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C95C3D"/>
                <w:sz w:val="13"/>
              </w:rPr>
              <w:t xml:space="preserve">Churned proxy: </w:t>
            </w:r>
            <w:r>
              <w:rPr>
                <w:rFonts w:ascii="Arial" w:hAnsi="Arial"/>
                <w:b w:val="0"/>
                <w:i w:val="0"/>
                <w:color w:val="5E6C76"/>
                <w:sz w:val="13"/>
              </w:rPr>
              <w:t>previously monetized, with no observed revenue for at least three months.</w:t>
            </w:r>
          </w:p>
        </w:tc>
      </w:tr>
      <w:tr>
        <w:trPr>
          <w:cantSplit/>
        </w:trPr>
        <w:tc>
          <w:tcPr>
            <w:tcW w:type="dxa" w:w="5244"/>
            <w:tcMar>
              <w:top w:w="35" w:type="dxa"/>
              <w:start w:w="75" w:type="dxa"/>
              <w:bottom w:w="35" w:type="dxa"/>
              <w:end w:w="75" w:type="dxa"/>
            </w:tcMar>
            <w:shd w:fill="F3F5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7A8B96"/>
                <w:sz w:val="13"/>
              </w:rPr>
              <w:t xml:space="preserve">Never monetized: </w:t>
            </w:r>
            <w:r>
              <w:rPr>
                <w:rFonts w:ascii="Arial" w:hAnsi="Arial"/>
                <w:b w:val="0"/>
                <w:i w:val="0"/>
                <w:color w:val="5E6C76"/>
                <w:sz w:val="13"/>
              </w:rPr>
              <w:t>no revenue has been observed for the company in the available extract.</w:t>
            </w:r>
          </w:p>
        </w:tc>
        <w:tc>
          <w:tcPr>
            <w:tcW w:type="dxa" w:w="5244"/>
          </w:tcPr>
          <w:p/>
        </w:tc>
      </w:tr>
    </w:tbl>
    <w:p>
      <w:pPr>
        <w:spacing w:before="20" w:after="20"/>
      </w:pPr>
      <w:r>
        <w:rPr>
          <w:rFonts w:ascii="Arial" w:hAnsi="Arial"/>
          <w:b/>
          <w:i w:val="0"/>
          <w:color w:val="008C8C"/>
          <w:sz w:val="14"/>
        </w:rPr>
        <w:t xml:space="preserve">How to read the risk signal: </w:t>
      </w:r>
      <w:r>
        <w:rPr>
          <w:rFonts w:ascii="Arial" w:hAnsi="Arial"/>
          <w:b w:val="0"/>
          <w:i w:val="0"/>
          <w:color w:val="5E6C76"/>
          <w:sz w:val="14"/>
        </w:rPr>
        <w:t>The Overall bar shows 1,909 of 6,337 mature companies (30.1%) in the grouped Declining + inactive signal. This is not a separate account state: it combines Declining &lt;€10 + Material Watch + At-risk + Churned proxy. The first two remain revenue-active; At-risk means 1–2 revenue-free months and Churned proxy means 3+ after prior revenue. It excludes Healthy/stable, Recovered, and Never monetized. This is a screening indicator—not confirmed churn. N is the mature-company population.</w:t>
      </w:r>
    </w:p>
    <w:p>
      <w:pPr>
        <w:keepNext/>
        <w:spacing w:before="20" w:after="60"/>
      </w:pPr>
      <w:r>
        <w:rPr>
          <w:rFonts w:ascii="Arial" w:hAnsi="Arial"/>
          <w:b/>
          <w:i w:val="0"/>
          <w:color w:val="102A43"/>
          <w:sz w:val="21"/>
        </w:rPr>
        <w:t>Alternatives considered—and rejected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color="D8DEE3"/>
          <w:left w:val="single" w:sz="3" w:color="D8DEE3"/>
          <w:bottom w:val="single" w:sz="3" w:color="D8DEE3"/>
          <w:right w:val="single" w:sz="3" w:color="D8DEE3"/>
          <w:insideH w:val="single" w:sz="3" w:color="D8DEE3"/>
          <w:insideV w:val="single" w:sz="3" w:color="D8DEE3"/>
        </w:tblBorders>
      </w:tblPr>
      <w:tblGrid>
        <w:gridCol w:w="2268"/>
        <w:gridCol w:w="2324"/>
        <w:gridCol w:w="5783"/>
      </w:tblGrid>
      <w:tr>
        <w:trPr>
          <w:tblHeader w:val="true"/>
        </w:trPr>
        <w:tc>
          <w:tcPr>
            <w:tcW w:type="dxa" w:w="3496"/>
            <w:shd w:fill="102A4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Alternative</w:t>
            </w:r>
          </w:p>
        </w:tc>
        <w:tc>
          <w:tcPr>
            <w:tcW w:type="dxa" w:w="3496"/>
            <w:shd w:fill="102A4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Why attractive</w:t>
            </w:r>
          </w:p>
        </w:tc>
        <w:tc>
          <w:tcPr>
            <w:tcW w:type="dxa" w:w="3496"/>
            <w:shd w:fill="102A4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Why it loses now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80" w:type="dxa"/>
              <w:bottom w:w="45" w:type="dxa"/>
              <w:end w:w="8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4"/>
              </w:rPr>
              <w:t>Acquire more Business</w:t>
            </w:r>
          </w:p>
        </w:tc>
        <w:tc>
          <w:tcPr>
            <w:tcW w:type="dxa" w:w="2324"/>
            <w:tcMar>
              <w:top w:w="45" w:type="dxa"/>
              <w:start w:w="80" w:type="dxa"/>
              <w:bottom w:w="45" w:type="dxa"/>
              <w:end w:w="8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High revenue/company</w:t>
            </w:r>
          </w:p>
        </w:tc>
        <w:tc>
          <w:tcPr>
            <w:tcW w:type="dxa" w:w="5783"/>
            <w:tcMar>
              <w:top w:w="45" w:type="dxa"/>
              <w:start w:w="80" w:type="dxa"/>
              <w:bottom w:w="45" w:type="dxa"/>
              <w:end w:w="8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Small base; 73.3% funnel dropout; weak continuity; no CAC or KYB-reason data.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80" w:type="dxa"/>
              <w:bottom w:w="45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4"/>
              </w:rPr>
              <w:t>Broad funnel overhaul</w:t>
            </w:r>
          </w:p>
        </w:tc>
        <w:tc>
          <w:tcPr>
            <w:tcW w:type="dxa" w:w="2324"/>
            <w:tcMar>
              <w:top w:w="45" w:type="dxa"/>
              <w:start w:w="80" w:type="dxa"/>
              <w:bottom w:w="45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62.9% 30-day dropout</w:t>
            </w:r>
          </w:p>
        </w:tc>
        <w:tc>
          <w:tcPr>
            <w:tcW w:type="dxa" w:w="5783"/>
            <w:tcMar>
              <w:top w:w="45" w:type="dxa"/>
              <w:start w:w="80" w:type="dxa"/>
              <w:bottom w:w="45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Cannot distinguish rejection, delay, abandonment, or extraction effects; no channel cost.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80" w:type="dxa"/>
              <w:bottom w:w="45" w:type="dxa"/>
              <w:end w:w="8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4"/>
              </w:rPr>
              <w:t>Scale BTP immediately</w:t>
            </w:r>
          </w:p>
        </w:tc>
        <w:tc>
          <w:tcPr>
            <w:tcW w:type="dxa" w:w="2324"/>
            <w:tcMar>
              <w:top w:w="45" w:type="dxa"/>
              <w:start w:w="80" w:type="dxa"/>
              <w:bottom w:w="45" w:type="dxa"/>
              <w:end w:w="8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Strong scale and efficiency</w:t>
            </w:r>
          </w:p>
        </w:tc>
        <w:tc>
          <w:tcPr>
            <w:tcW w:type="dxa" w:w="5783"/>
            <w:tcMar>
              <w:top w:w="45" w:type="dxa"/>
              <w:start w:w="80" w:type="dxa"/>
              <w:bottom w:w="45" w:type="dxa"/>
              <w:end w:w="8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The data identifies the segment, but not the product or acquisition lever that caused its value.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80" w:type="dxa"/>
              <w:bottom w:w="45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4"/>
              </w:rPr>
              <w:t>Blanket churn campaign</w:t>
            </w:r>
          </w:p>
        </w:tc>
        <w:tc>
          <w:tcPr>
            <w:tcW w:type="dxa" w:w="2324"/>
            <w:tcMar>
              <w:top w:w="45" w:type="dxa"/>
              <w:start w:w="80" w:type="dxa"/>
              <w:bottom w:w="45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Retention feels urgent</w:t>
            </w:r>
          </w:p>
        </w:tc>
        <w:tc>
          <w:tcPr>
            <w:tcW w:type="dxa" w:w="5783"/>
            <w:tcMar>
              <w:top w:w="45" w:type="dxa"/>
              <w:start w:w="80" w:type="dxa"/>
              <w:bottom w:w="45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Decline and inactivity are different states; treatment should vary by state, exposure, and expected recovery.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i w:val="0"/>
          <w:color w:val="C95C3D"/>
          <w:sz w:val="15"/>
        </w:rPr>
        <w:t xml:space="preserve">Magnitude limit: </w:t>
      </w:r>
      <w:r>
        <w:rPr>
          <w:rFonts w:ascii="Arial" w:hAnsi="Arial"/>
          <w:b w:val="0"/>
          <w:i w:val="0"/>
          <w:color w:val="5E6C76"/>
          <w:sz w:val="15"/>
        </w:rPr>
        <w:t>gross exposure can be sized; recoverability, uplift, contribution margin, treatment cost and causal impact cannot.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008C8C"/>
          <w:sz w:val="16"/>
        </w:rPr>
        <w:t>PAGE 3 • PROVE AND PRODUCTIONISE</w:t>
      </w:r>
    </w:p>
    <w:p>
      <w:pPr>
        <w:keepNext/>
        <w:spacing w:after="30"/>
      </w:pPr>
      <w:r>
        <w:rPr>
          <w:rFonts w:ascii="Arial" w:hAnsi="Arial"/>
          <w:b/>
          <w:i w:val="0"/>
          <w:color w:val="102A43"/>
          <w:sz w:val="40"/>
        </w:rPr>
        <w:t>Test the lever before scaling—and make the metrics trustworthy</w:t>
      </w:r>
    </w:p>
    <w:p>
      <w:pPr>
        <w:spacing w:after="120"/>
      </w:pPr>
      <w:r>
        <w:rPr>
          <w:rFonts w:ascii="Arial" w:hAnsi="Arial"/>
          <w:b w:val="0"/>
          <w:i w:val="0"/>
          <w:color w:val="5E6C76"/>
          <w:sz w:val="17"/>
        </w:rPr>
        <w:t>Association identifies where to test; randomisation establishes whether the lever works</w:t>
      </w:r>
    </w:p>
    <w:p>
      <w:pPr>
        <w:keepNext/>
        <w:spacing w:before="0" w:after="60"/>
      </w:pPr>
      <w:r>
        <w:rPr>
          <w:rFonts w:ascii="Arial" w:hAnsi="Arial"/>
          <w:b/>
          <w:i w:val="0"/>
          <w:color w:val="102A43"/>
          <w:sz w:val="21"/>
        </w:rPr>
        <w:t>Lead experiment: revenue-deterioration protection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color="D8DEE3"/>
          <w:left w:val="single" w:sz="3" w:color="D8DEE3"/>
          <w:bottom w:val="single" w:sz="3" w:color="D8DEE3"/>
          <w:right w:val="single" w:sz="3" w:color="D8DEE3"/>
          <w:insideH w:val="single" w:sz="3" w:color="D8DEE3"/>
          <w:insideV w:val="single" w:sz="3" w:color="D8DEE3"/>
        </w:tblBorders>
      </w:tblPr>
      <w:tblGrid>
        <w:gridCol w:w="2268"/>
        <w:gridCol w:w="8107"/>
      </w:tblGrid>
      <w:tr>
        <w:trPr>
          <w:cantSplit/>
        </w:trPr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EAF4F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008C8C"/>
                <w:sz w:val="16"/>
              </w:rPr>
              <w:t>Hypothesis</w:t>
            </w:r>
          </w:p>
        </w:tc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A state-specific intervention after a material decline or first revenue-free month causes incremental recognised revenue versus business-as-usual.</w:t>
            </w:r>
          </w:p>
        </w:tc>
      </w:tr>
      <w:tr>
        <w:trPr>
          <w:cantSplit/>
        </w:trPr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EAF4F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008C8C"/>
                <w:sz w:val="16"/>
              </w:rPr>
              <w:t>Eligibility &amp; design</w:t>
            </w:r>
          </w:p>
        </w:tc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F3F5F7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Freeze monthly eligibility; stratify by state, exposure/value, cohort and segment; randomise within strata. Prioritise Material Watch and first-gap At-risk: high-touch for the largest exposures, low-cost automation for the tail, and lower-touch monitoring for Churned proxy.</w:t>
            </w:r>
          </w:p>
        </w:tc>
      </w:tr>
      <w:tr>
        <w:trPr>
          <w:cantSplit/>
        </w:trPr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EAF4F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008C8C"/>
                <w:sz w:val="16"/>
              </w:rPr>
              <w:t>Primary metric</w:t>
            </w:r>
          </w:p>
        </w:tc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Incremental mean total revenue per eligible company over 60–90 days. Report confidence intervals plus median and winsorised sensitivities because revenue is highly skewed.</w:t>
            </w:r>
          </w:p>
        </w:tc>
      </w:tr>
      <w:tr>
        <w:trPr>
          <w:cantSplit/>
        </w:trPr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EAF4F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008C8C"/>
                <w:sz w:val="16"/>
              </w:rPr>
              <w:t>Success</w:t>
            </w:r>
          </w:p>
        </w:tc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F3F5F7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Scale a treatment tier only if incremental contribution exceeds fully loaded intervention cost without guardrail deterioration. Estimate effects separately by state and value tier.</w:t>
            </w:r>
          </w:p>
        </w:tc>
      </w:tr>
      <w:tr>
        <w:trPr>
          <w:cantSplit/>
        </w:trPr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EAF4F4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008C8C"/>
                <w:sz w:val="16"/>
              </w:rPr>
              <w:t>Guardrails</w:t>
            </w:r>
          </w:p>
        </w:tc>
        <w:tc>
          <w:tcPr>
            <w:tcW w:type="dxa" w:w="5244"/>
            <w:tcMar>
              <w:top w:w="72" w:type="dxa"/>
              <w:start w:w="95" w:type="dxa"/>
              <w:bottom w:w="72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Closures, complaints, support contacts, fraud/AML/risk outcomes, fairness, operational failures, and negative-fee adjustments.</w:t>
            </w:r>
          </w:p>
        </w:tc>
      </w:tr>
    </w:tbl>
    <w:p>
      <w:pPr>
        <w:keepNext/>
        <w:spacing w:before="60" w:after="60"/>
      </w:pPr>
      <w:r>
        <w:rPr>
          <w:rFonts w:ascii="Arial" w:hAnsi="Arial"/>
          <w:b/>
          <w:i w:val="0"/>
          <w:color w:val="102A43"/>
          <w:sz w:val="21"/>
        </w:rPr>
        <w:t>Validate first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FFFFFF"/>
          <w:left w:val="single" w:sz="7" w:color="FFFFFF"/>
          <w:bottom w:val="single" w:sz="7" w:color="FFFFFF"/>
          <w:right w:val="single" w:sz="7" w:color="FFFFFF"/>
          <w:insideH w:val="single" w:sz="7" w:color="FFFFFF"/>
          <w:insideV w:val="single" w:sz="7" w:color="FFFFFF"/>
        </w:tblBorders>
      </w:tblPr>
      <w:tblGrid>
        <w:gridCol w:w="3458"/>
        <w:gridCol w:w="3458"/>
        <w:gridCol w:w="3458"/>
      </w:tblGrid>
      <w:tr>
        <w:tc>
          <w:tcPr>
            <w:tcW w:type="dxa" w:w="3496"/>
            <w:shd w:fill="F3F5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08C8C"/>
                <w:sz w:val="24"/>
              </w:rPr>
              <w:t>1</w:t>
            </w:r>
            <w:r>
              <w:rPr>
                <w:rFonts w:ascii="Arial" w:hAnsi="Arial"/>
                <w:b/>
                <w:i w:val="0"/>
                <w:color w:val="102A43"/>
                <w:sz w:val="16"/>
              </w:rPr>
              <w:t xml:space="preserve">  Completeness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Confirm missing row = zero; reconcile to Finance; keep May out until signup coverage is explained.</w:t>
            </w:r>
          </w:p>
        </w:tc>
        <w:tc>
          <w:tcPr>
            <w:tcW w:type="dxa" w:w="3496"/>
            <w:shd w:fill="F3F5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08C8C"/>
                <w:sz w:val="24"/>
              </w:rPr>
              <w:t>2</w:t>
            </w:r>
            <w:r>
              <w:rPr>
                <w:rFonts w:ascii="Arial" w:hAnsi="Arial"/>
                <w:b/>
                <w:i w:val="0"/>
                <w:color w:val="102A43"/>
                <w:sz w:val="16"/>
              </w:rPr>
              <w:t xml:space="preserve">  Cause &amp; actionability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Add product/card usage, balances, current plan, status/closure, contact eligibility and cost; diagnose why revenue declined.</w:t>
            </w:r>
          </w:p>
        </w:tc>
        <w:tc>
          <w:tcPr>
            <w:tcW w:type="dxa" w:w="3496"/>
            <w:shd w:fill="FBEFE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C95C3D"/>
                <w:sz w:val="24"/>
              </w:rPr>
              <w:t>3</w:t>
            </w:r>
            <w:r>
              <w:rPr>
                <w:rFonts w:ascii="Arial" w:hAnsi="Arial"/>
                <w:b/>
                <w:i w:val="0"/>
                <w:color w:val="102A43"/>
                <w:sz w:val="16"/>
              </w:rPr>
              <w:t xml:space="preserve">  KYB &amp; privacy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Confirm permitted persona use; minimise data; suppress small cells; never use this for adverse eligibility decisions.</w:t>
            </w:r>
          </w:p>
        </w:tc>
      </w:tr>
    </w:tbl>
    <w:p>
      <w:pPr>
        <w:keepNext/>
        <w:spacing w:before="60" w:after="60"/>
      </w:pPr>
      <w:r>
        <w:rPr>
          <w:rFonts w:ascii="Arial" w:hAnsi="Arial"/>
          <w:b/>
          <w:i w:val="0"/>
          <w:color w:val="102A43"/>
          <w:sz w:val="21"/>
        </w:rPr>
        <w:t>Trusted production engine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color="FFFFFF"/>
          <w:left w:val="single" w:sz="7" w:color="FFFFFF"/>
          <w:bottom w:val="single" w:sz="7" w:color="FFFFFF"/>
          <w:right w:val="single" w:sz="7" w:color="FFFFFF"/>
          <w:insideH w:val="single" w:sz="7" w:color="FFFFFF"/>
          <w:insideV w:val="single" w:sz="7" w:color="FFFFFF"/>
        </w:tblBorders>
      </w:tblPr>
      <w:tblGrid>
        <w:gridCol w:w="1446"/>
        <w:gridCol w:w="312"/>
        <w:gridCol w:w="2268"/>
        <w:gridCol w:w="312"/>
        <w:gridCol w:w="2041"/>
        <w:gridCol w:w="312"/>
        <w:gridCol w:w="2665"/>
      </w:tblGrid>
      <w:tr>
        <w:tc>
          <w:tcPr>
            <w:tcW w:type="dxa" w:w="1498"/>
            <w:vAlign w:val="center"/>
            <w:tcMar>
              <w:top w:w="65" w:type="dxa"/>
              <w:start w:w="45" w:type="dxa"/>
              <w:bottom w:w="65" w:type="dxa"/>
              <w:end w:w="45" w:type="dxa"/>
            </w:tcMar>
            <w:shd w:fill="EAF4F4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02A43"/>
                <w:sz w:val="16"/>
              </w:rPr>
              <w:t>Raw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3"/>
              </w:rPr>
              <w:t>snapshots</w:t>
            </w:r>
          </w:p>
        </w:tc>
        <w:tc>
          <w:tcPr>
            <w:tcW w:type="dxa" w:w="1498"/>
            <w:vAlign w:val="center"/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8C8C"/>
                <w:sz w:val="24"/>
              </w:rPr>
              <w:t>→</w:t>
            </w:r>
          </w:p>
        </w:tc>
        <w:tc>
          <w:tcPr>
            <w:tcW w:type="dxa" w:w="1498"/>
            <w:vAlign w:val="center"/>
            <w:tcMar>
              <w:top w:w="65" w:type="dxa"/>
              <w:start w:w="45" w:type="dxa"/>
              <w:bottom w:w="65" w:type="dxa"/>
              <w:end w:w="45" w:type="dxa"/>
            </w:tcMar>
            <w:shd w:fill="EAF4F4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02A43"/>
                <w:sz w:val="16"/>
              </w:rPr>
              <w:t>Typed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3"/>
              </w:rPr>
              <w:t>company-month fact</w:t>
            </w:r>
          </w:p>
        </w:tc>
        <w:tc>
          <w:tcPr>
            <w:tcW w:type="dxa" w:w="1498"/>
            <w:vAlign w:val="center"/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8C8C"/>
                <w:sz w:val="24"/>
              </w:rPr>
              <w:t>→</w:t>
            </w:r>
          </w:p>
        </w:tc>
        <w:tc>
          <w:tcPr>
            <w:tcW w:type="dxa" w:w="1498"/>
            <w:vAlign w:val="center"/>
            <w:tcMar>
              <w:top w:w="65" w:type="dxa"/>
              <w:start w:w="45" w:type="dxa"/>
              <w:bottom w:w="65" w:type="dxa"/>
              <w:end w:w="45" w:type="dxa"/>
            </w:tcMar>
            <w:shd w:fill="EAF4F4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02A43"/>
                <w:sz w:val="16"/>
              </w:rPr>
              <w:t>Versioned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3"/>
              </w:rPr>
              <w:t>metric marts</w:t>
            </w:r>
          </w:p>
        </w:tc>
        <w:tc>
          <w:tcPr>
            <w:tcW w:type="dxa" w:w="1498"/>
            <w:vAlign w:val="center"/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8C8C"/>
                <w:sz w:val="24"/>
              </w:rPr>
              <w:t>→</w:t>
            </w:r>
          </w:p>
        </w:tc>
        <w:tc>
          <w:tcPr>
            <w:tcW w:type="dxa" w:w="1498"/>
            <w:vAlign w:val="center"/>
            <w:tcMar>
              <w:top w:w="65" w:type="dxa"/>
              <w:start w:w="45" w:type="dxa"/>
              <w:bottom w:w="65" w:type="dxa"/>
              <w:end w:w="45" w:type="dxa"/>
            </w:tcMar>
            <w:shd w:fill="EAF4F4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02A43"/>
                <w:sz w:val="16"/>
              </w:rPr>
              <w:t>Governed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E6C76"/>
                <w:sz w:val="13"/>
              </w:rPr>
              <w:t>semantic layer</w:t>
            </w:r>
          </w:p>
        </w:tc>
      </w:tr>
    </w:tbl>
    <w:p>
      <w:pPr>
        <w:spacing w:after="20" w:line="250" w:lineRule="auto"/>
      </w:pPr>
      <w:r>
        <w:rPr>
          <w:rFonts w:ascii="Arial" w:hAnsi="Arial"/>
          <w:b w:val="0"/>
          <w:i w:val="0"/>
          <w:color w:val="17212B"/>
          <w:sz w:val="15"/>
        </w:rPr>
        <w:t>Automated tests: unique company-month key; referential integrity; component-to-total and Finance reconciliation; freshness/completeness; date ordering; state-transition invariants; fixed cohort denominators; late-arriving-data/backfill controls.</w:t>
      </w:r>
    </w:p>
    <w:p>
      <w:pPr>
        <w:spacing w:after="20" w:line="250" w:lineRule="auto"/>
      </w:pPr>
      <w:r>
        <w:rPr>
          <w:rFonts w:ascii="Arial" w:hAnsi="Arial"/>
          <w:b w:val="0"/>
          <w:i w:val="0"/>
          <w:color w:val="17212B"/>
          <w:sz w:val="15"/>
        </w:rPr>
        <w:t>Ownership: Finance—revenue; Product/Growth—lever and thresholds; Data—models/tests/lineage; Risk/Compliance/Privacy—KYB use; Operations/CRM—execution. Refresh after monthly close and version every definition change.</w:t>
      </w:r>
    </w:p>
    <w:p>
      <w:pPr>
        <w:spacing w:before="40" w:after="0"/>
      </w:pPr>
      <w:r>
        <w:rPr>
          <w:rFonts w:ascii="Arial" w:hAnsi="Arial"/>
          <w:b/>
          <w:i w:val="0"/>
          <w:color w:val="008C8C"/>
          <w:sz w:val="15"/>
        </w:rPr>
        <w:t xml:space="preserve">SQL appendix: </w:t>
      </w:r>
      <w:r>
        <w:rPr>
          <w:rFonts w:ascii="Arial" w:hAnsi="Arial"/>
          <w:b w:val="0"/>
          <w:i w:val="0"/>
          <w:color w:val="5E6C76"/>
          <w:sz w:val="15"/>
        </w:rPr>
        <w:t>sql/revenue_concentration_analysis.sql • sql/presentation_kpis.sql • sql/account_health_playground.sql</w:t>
      </w:r>
    </w:p>
    <w:p>
      <w:pPr>
        <w:spacing w:after="0"/>
      </w:pPr>
      <w:r>
        <w:rPr>
          <w:rFonts w:ascii="Arial" w:hAnsi="Arial"/>
          <w:b/>
          <w:i w:val="0"/>
          <w:color w:val="C95C3D"/>
          <w:sz w:val="15"/>
        </w:rPr>
        <w:t xml:space="preserve">Not concluded: </w:t>
      </w:r>
      <w:r>
        <w:rPr>
          <w:rFonts w:ascii="Arial" w:hAnsi="Arial"/>
          <w:b w:val="0"/>
          <w:i w:val="0"/>
          <w:color w:val="5E6C76"/>
          <w:sz w:val="15"/>
        </w:rPr>
        <w:t>recoverable exposure, true churn, forecast LTV, causal plan effect, CAC/payback, profitability, or complete May performance.</w:t>
      </w:r>
    </w:p>
    <w:p>
      <w:pPr>
        <w:spacing w:after="0"/>
      </w:pPr>
      <w:r>
        <w:rPr>
          <w:rFonts w:ascii="Arial" w:hAnsi="Arial"/>
          <w:b/>
          <w:i w:val="0"/>
          <w:color w:val="008C8C"/>
          <w:sz w:val="14"/>
        </w:rPr>
        <w:t xml:space="preserve">External sources: </w:t>
      </w:r>
      <w:hyperlink r:id="rId16">
        <w:r>
          <w:rPr>
            <w:color w:val="008C8C"/>
            <w:u w:val="single"/>
            <w:sz w:val="14"/>
          </w:rPr>
          <w:t>Shine pricing</w:t>
        </w:r>
      </w:hyperlink>
      <w:r>
        <w:rPr>
          <w:rFonts w:ascii="Arial" w:hAnsi="Arial"/>
          <w:b w:val="0"/>
          <w:i w:val="0"/>
          <w:color w:val="5E6C76"/>
          <w:sz w:val="14"/>
        </w:rPr>
        <w:t xml:space="preserve"> • </w:t>
      </w:r>
      <w:hyperlink r:id="rId17">
        <w:r>
          <w:rPr>
            <w:color w:val="008C8C"/>
            <w:u w:val="single"/>
            <w:sz w:val="14"/>
          </w:rPr>
          <w:t>Overdraft policy</w:t>
        </w:r>
      </w:hyperlink>
      <w:r>
        <w:rPr>
          <w:rFonts w:ascii="Arial" w:hAnsi="Arial"/>
          <w:b w:val="0"/>
          <w:i w:val="0"/>
          <w:color w:val="5E6C76"/>
          <w:sz w:val="14"/>
        </w:rPr>
        <w:t xml:space="preserve"> • </w:t>
      </w:r>
      <w:hyperlink r:id="rId18">
        <w:r>
          <w:rPr>
            <w:color w:val="008C8C"/>
            <w:u w:val="single"/>
            <w:sz w:val="14"/>
          </w:rPr>
          <w:t>E-invoice reform</w:t>
        </w:r>
      </w:hyperlink>
      <w:r>
        <w:rPr>
          <w:rFonts w:ascii="Arial" w:hAnsi="Arial"/>
          <w:b w:val="0"/>
          <w:i w:val="0"/>
          <w:color w:val="5E6C76"/>
          <w:sz w:val="14"/>
        </w:rPr>
        <w:t xml:space="preserve"> • </w:t>
      </w:r>
      <w:r>
        <w:rPr>
          <w:rFonts w:ascii="Arial" w:hAnsi="Arial"/>
          <w:b w:val="0"/>
          <w:i w:val="0"/>
          <w:color w:val="5E6C76"/>
          <w:sz w:val="14"/>
        </w:rPr>
        <w:t>full research note: docs/research/SHINE_MARKET_RESEARCH_AND_STRATEGY.md</w:t>
      </w:r>
    </w:p>
    <w:sectPr w:rsidR="00FC693F" w:rsidRPr="0006063C" w:rsidSect="00034616">
      <w:footerReference w:type="default" r:id="rId9"/>
      <w:pgSz w:w="11906" w:h="16838"/>
      <w:pgMar w:top="652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i w:val="0"/>
        <w:color w:val="5E6C76"/>
        <w:sz w:val="14"/>
      </w:rPr>
      <w:t xml:space="preserve">SHINE CASE  •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www.insee.fr/fr/statistiques/2011101?geo=FRANCE-1-1" TargetMode="External"/><Relationship Id="rId12" Type="http://schemas.openxmlformats.org/officeDocument/2006/relationships/hyperlink" Target="https://www.shine.fr/btp/" TargetMode="External"/><Relationship Id="rId13" Type="http://schemas.openxmlformats.org/officeDocument/2006/relationships/hyperlink" Target="https://www.capeb.fr/www/capeb/media/national/note-1-trimestre-2026-v3.pdf" TargetMode="External"/><Relationship Id="rId14" Type="http://schemas.openxmlformats.org/officeDocument/2006/relationships/hyperlink" Target="https://help.shine.fr/shine-facture/fr/articles/16596228-artisans-du-btp-facturer-l-avancement-de-vos-chantiers-situations-de-travaux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www.shine.fr/tarifs/" TargetMode="External"/><Relationship Id="rId17" Type="http://schemas.openxmlformats.org/officeDocument/2006/relationships/hyperlink" Target="https://help.shine.fr/fr/articles/1179200-compte-a-decouvert" TargetMode="External"/><Relationship Id="rId18" Type="http://schemas.openxmlformats.org/officeDocument/2006/relationships/hyperlink" Target="https://www.economie.gouv.fr/tout-savoir-sur-la-facturation-electronique-pour-les-entrepri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Shine — Revenue Risk &amp; Opportunity</dc:title>
  <dc:subject>Senior Data Analyst Case Study</dc:subject>
  <dc:creator>Candidate analysis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