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rial" w:hAnsi="Arial"/>
          <w:b/>
          <w:i w:val="0"/>
          <w:color w:val="008C8C"/>
          <w:sz w:val="16"/>
        </w:rPr>
        <w:t>PAGE 1 • RAW-DATA BIG PICTURE</w:t>
      </w:r>
    </w:p>
    <w:p>
      <w:pPr>
        <w:keepNext/>
        <w:spacing w:after="30"/>
      </w:pPr>
      <w:r>
        <w:rPr>
          <w:rFonts w:ascii="Arial" w:hAnsi="Arial"/>
          <w:b/>
          <w:i w:val="0"/>
          <w:color w:val="102A43"/>
          <w:sz w:val="40"/>
        </w:rPr>
        <w:t>BTP leads the full confirmed revenue view; Start leads plan scale</w:t>
      </w:r>
    </w:p>
    <w:p>
      <w:pPr>
        <w:spacing w:after="120"/>
      </w:pPr>
      <w:r>
        <w:rPr>
          <w:rFonts w:ascii="Arial" w:hAnsi="Arial"/>
          <w:b w:val="0"/>
          <w:i w:val="0"/>
          <w:color w:val="5E6C76"/>
          <w:sz w:val="17"/>
        </w:rPr>
        <w:t>Base tables only • Cumulative through April 2026 • May excluded from headlines</w:t>
      </w:r>
    </w:p>
    <w:tbl>
      <w:tblPr>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22"/>
        <w:gridCol w:w="2622"/>
        <w:gridCol w:w="2622"/>
        <w:gridCol w:w="2622"/>
      </w:tblGrid>
      <w:tr>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€2.35m</w:t>
            </w:r>
          </w:p>
          <w:p>
            <w:pPr>
              <w:spacing w:after="0"/>
              <w:jc w:val="center"/>
            </w:pPr>
            <w:r>
              <w:rPr>
                <w:rFonts w:ascii="Arial" w:hAnsi="Arial"/>
                <w:b w:val="0"/>
                <w:i w:val="0"/>
                <w:color w:val="5E6C76"/>
                <w:sz w:val="15"/>
              </w:rPr>
              <w:t>confirmed revenue through April</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17,568</w:t>
            </w:r>
          </w:p>
          <w:p>
            <w:pPr>
              <w:spacing w:after="0"/>
              <w:jc w:val="center"/>
            </w:pPr>
            <w:r>
              <w:rPr>
                <w:rFonts w:ascii="Arial" w:hAnsi="Arial"/>
                <w:b w:val="0"/>
                <w:i w:val="0"/>
                <w:color w:val="5E6C76"/>
                <w:sz w:val="15"/>
              </w:rPr>
              <w:t>companies with confirmed revenue</w:t>
            </w:r>
          </w:p>
        </w:tc>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25.4%</w:t>
            </w:r>
          </w:p>
          <w:p>
            <w:pPr>
              <w:spacing w:after="0"/>
              <w:jc w:val="center"/>
            </w:pPr>
            <w:r>
              <w:rPr>
                <w:rFonts w:ascii="Arial" w:hAnsi="Arial"/>
                <w:b w:val="0"/>
                <w:i w:val="0"/>
                <w:color w:val="5E6C76"/>
                <w:sz w:val="15"/>
              </w:rPr>
              <w:t>confirmed revenue from BTP</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44.5%</w:t>
            </w:r>
          </w:p>
          <w:p>
            <w:pPr>
              <w:spacing w:after="0"/>
              <w:jc w:val="center"/>
            </w:pPr>
            <w:r>
              <w:rPr>
                <w:rFonts w:ascii="Arial" w:hAnsi="Arial"/>
                <w:b w:val="0"/>
                <w:i w:val="0"/>
                <w:color w:val="5E6C76"/>
                <w:sz w:val="15"/>
              </w:rPr>
              <w:t>confirmed revenue from Start</w:t>
            </w:r>
          </w:p>
        </w:tc>
      </w:tr>
    </w:tbl>
    <w:p>
      <w:pPr>
        <w:spacing w:before="80" w:after="20"/>
        <w:jc w:val="center"/>
      </w:pPr>
      <w:r>
        <w:drawing>
          <wp:inline xmlns:a="http://schemas.openxmlformats.org/drawingml/2006/main" xmlns:pic="http://schemas.openxmlformats.org/drawingml/2006/picture">
            <wp:extent cx="6480000" cy="2394172"/>
            <wp:docPr id="1" name="Picture 1"/>
            <wp:cNvGraphicFramePr>
              <a:graphicFrameLocks noChangeAspect="1"/>
            </wp:cNvGraphicFramePr>
            <a:graphic>
              <a:graphicData uri="http://schemas.openxmlformats.org/drawingml/2006/picture">
                <pic:pic>
                  <pic:nvPicPr>
                    <pic:cNvPr id="0" name="simple_raw_segment_view.png"/>
                    <pic:cNvPicPr/>
                  </pic:nvPicPr>
                  <pic:blipFill>
                    <a:blip r:embed="rId10"/>
                    <a:stretch>
                      <a:fillRect/>
                    </a:stretch>
                  </pic:blipFill>
                  <pic:spPr>
                    <a:xfrm>
                      <a:off x="0" y="0"/>
                      <a:ext cx="6480000" cy="2394172"/>
                    </a:xfrm>
                    <a:prstGeom prst="rect"/>
                  </pic:spPr>
                </pic:pic>
              </a:graphicData>
            </a:graphic>
          </wp:inline>
        </w:drawing>
      </w:r>
    </w:p>
    <w:p>
      <w:pPr>
        <w:spacing w:before="0" w:after="40"/>
        <w:jc w:val="center"/>
      </w:pPr>
      <w:r>
        <w:rPr>
          <w:rFonts w:ascii="Arial" w:hAnsi="Arial"/>
          <w:b/>
          <w:i w:val="0"/>
          <w:color w:val="008C8C"/>
          <w:sz w:val="15"/>
        </w:rPr>
        <w:t xml:space="preserve">How to read: </w:t>
      </w:r>
      <w:r>
        <w:rPr>
          <w:rFonts w:ascii="Arial" w:hAnsi="Arial"/>
          <w:b w:val="0"/>
          <w:i w:val="0"/>
          <w:color w:val="5E6C76"/>
          <w:sz w:val="15"/>
        </w:rPr>
        <w:t>bar length is cumulative revenue share through April; labels add cumulative revenue per revenue company.</w:t>
      </w:r>
    </w:p>
    <w:p>
      <w:pPr>
        <w:keepNext/>
        <w:spacing w:before="40" w:after="60"/>
      </w:pPr>
      <w:r>
        <w:rPr>
          <w:rFonts w:ascii="Arial" w:hAnsi="Arial"/>
          <w:b/>
          <w:i w:val="0"/>
          <w:color w:val="102A43"/>
          <w:sz w:val="21"/>
        </w:rPr>
        <w:t>What I conclude</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3458"/>
        <w:gridCol w:w="3458"/>
        <w:gridCol w:w="3458"/>
      </w:tblGrid>
      <w:tr>
        <w:tc>
          <w:tcPr>
            <w:tcW w:type="dxa" w:w="3496"/>
            <w:shd w:fill="EAF4F4"/>
            <w:tcMar>
              <w:top w:w="95" w:type="dxa"/>
              <w:start w:w="110" w:type="dxa"/>
              <w:bottom w:w="95" w:type="dxa"/>
              <w:end w:w="110" w:type="dxa"/>
            </w:tcMar>
          </w:tcPr>
          <w:p>
            <w:pPr>
              <w:spacing w:after="40" w:line="240" w:lineRule="auto"/>
            </w:pPr>
            <w:r>
              <w:rPr>
                <w:rFonts w:ascii="Arial" w:hAnsi="Arial"/>
                <w:b/>
                <w:i w:val="0"/>
                <w:color w:val="008C8C"/>
                <w:sz w:val="17"/>
              </w:rPr>
              <w:t>BTP</w:t>
            </w:r>
          </w:p>
          <w:p>
            <w:pPr>
              <w:spacing w:after="0" w:line="240" w:lineRule="auto"/>
            </w:pPr>
            <w:r>
              <w:rPr>
                <w:rFonts w:ascii="Arial" w:hAnsi="Arial"/>
                <w:b w:val="0"/>
                <w:i w:val="0"/>
                <w:color w:val="17212B"/>
                <w:sz w:val="15"/>
              </w:rPr>
              <w:t>Largest confirmed persona at 25.42%; April independently shows 24.06%, so the result is not driven by one view.</w:t>
            </w:r>
          </w:p>
        </w:tc>
        <w:tc>
          <w:tcPr>
            <w:tcW w:type="dxa" w:w="3496"/>
            <w:shd w:fill="F3F5F7"/>
            <w:tcMar>
              <w:top w:w="95" w:type="dxa"/>
              <w:start w:w="110" w:type="dxa"/>
              <w:bottom w:w="95" w:type="dxa"/>
              <w:end w:w="110" w:type="dxa"/>
            </w:tcMar>
          </w:tcPr>
          <w:p>
            <w:pPr>
              <w:spacing w:after="40" w:line="240" w:lineRule="auto"/>
            </w:pPr>
            <w:r>
              <w:rPr>
                <w:rFonts w:ascii="Arial" w:hAnsi="Arial"/>
                <w:b/>
                <w:i w:val="0"/>
                <w:color w:val="102A43"/>
                <w:sz w:val="17"/>
              </w:rPr>
              <w:t>Start vs Plus</w:t>
            </w:r>
          </w:p>
          <w:p>
            <w:pPr>
              <w:spacing w:after="0" w:line="240" w:lineRule="auto"/>
            </w:pPr>
            <w:r>
              <w:rPr>
                <w:rFonts w:ascii="Arial" w:hAnsi="Arial"/>
                <w:b w:val="0"/>
                <w:i w:val="0"/>
                <w:color w:val="17212B"/>
                <w:sz w:val="15"/>
              </w:rPr>
              <w:t>Start supplies 44.49% through scale; Plus supplies 26.98% at €279.26 cumulative revenue per revenue company.</w:t>
            </w:r>
          </w:p>
        </w:tc>
        <w:tc>
          <w:tcPr>
            <w:tcW w:type="dxa" w:w="3496"/>
            <w:shd w:fill="F3F5F7"/>
            <w:tcMar>
              <w:top w:w="95" w:type="dxa"/>
              <w:start w:w="110" w:type="dxa"/>
              <w:bottom w:w="95" w:type="dxa"/>
              <w:end w:w="110" w:type="dxa"/>
            </w:tcMar>
          </w:tcPr>
          <w:p>
            <w:pPr>
              <w:spacing w:after="40" w:line="240" w:lineRule="auto"/>
            </w:pPr>
            <w:r>
              <w:rPr>
                <w:rFonts w:ascii="Arial" w:hAnsi="Arial"/>
                <w:b/>
                <w:i w:val="0"/>
                <w:color w:val="E9A23B"/>
                <w:sz w:val="17"/>
              </w:rPr>
              <w:t>Current economics</w:t>
            </w:r>
          </w:p>
          <w:p>
            <w:pPr>
              <w:spacing w:after="0" w:line="240" w:lineRule="auto"/>
            </w:pPr>
            <w:r>
              <w:rPr>
                <w:rFonts w:ascii="Arial" w:hAnsi="Arial"/>
                <w:b w:val="0"/>
                <w:i w:val="0"/>
                <w:color w:val="17212B"/>
                <w:sz w:val="15"/>
              </w:rPr>
              <w:t>In April, interchange is 42.0% and deposit interest 28.7% of revenue; subscriptions alone are 21.0%.</w:t>
            </w:r>
          </w:p>
        </w:tc>
      </w:tr>
    </w:tbl>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10375"/>
      </w:tblGrid>
      <w:tr>
        <w:tc>
          <w:tcPr>
            <w:tcW w:type="dxa" w:w="10488"/>
            <w:shd w:fill="F3F5F7"/>
            <w:tcMar>
              <w:top w:w="75" w:type="dxa"/>
              <w:start w:w="115" w:type="dxa"/>
              <w:bottom w:w="75" w:type="dxa"/>
              <w:end w:w="115" w:type="dxa"/>
            </w:tcMar>
          </w:tcPr>
          <w:p>
            <w:pPr>
              <w:spacing w:after="40"/>
            </w:pPr>
            <w:r>
              <w:rPr>
                <w:rFonts w:ascii="Arial" w:hAnsi="Arial"/>
                <w:b/>
                <w:i w:val="0"/>
                <w:color w:val="008C8C"/>
                <w:sz w:val="15"/>
              </w:rPr>
              <w:t>Core query pattern</w:t>
            </w:r>
          </w:p>
          <w:p>
            <w:pPr>
              <w:spacing w:after="0"/>
            </w:pPr>
            <w:r>
              <w:rPr>
                <w:rFonts w:ascii="Arial" w:hAnsi="Arial"/>
                <w:b w:val="0"/>
                <w:i w:val="0"/>
                <w:color w:val="17212B"/>
                <w:sz w:val="13"/>
              </w:rPr>
              <w:t>SELECT c.persona, SUM(r.total_revenue),</w:t>
            </w:r>
          </w:p>
          <w:p>
            <w:pPr>
              <w:spacing w:after="0"/>
            </w:pPr>
            <w:r>
              <w:rPr>
                <w:rFonts w:ascii="Arial" w:hAnsi="Arial"/>
                <w:b w:val="0"/>
                <w:i w:val="0"/>
                <w:color w:val="17212B"/>
                <w:sz w:val="13"/>
              </w:rPr>
              <w:t xml:space="preserve">       100 * SUM(r.total_revenue) / SUM(SUM(r.total_revenue)) OVER ()</w:t>
            </w:r>
          </w:p>
          <w:p>
            <w:pPr>
              <w:spacing w:after="0"/>
            </w:pPr>
            <w:r>
              <w:rPr>
                <w:rFonts w:ascii="Arial" w:hAnsi="Arial"/>
                <w:b w:val="0"/>
                <w:i w:val="0"/>
                <w:color w:val="17212B"/>
                <w:sz w:val="13"/>
              </w:rPr>
              <w:t>FROM companies c JOIN revenue_with_total r USING (company_profile_id)</w:t>
            </w:r>
          </w:p>
          <w:p>
            <w:pPr>
              <w:spacing w:after="0"/>
            </w:pPr>
            <w:r>
              <w:rPr>
                <w:rFonts w:ascii="Arial" w:hAnsi="Arial"/>
                <w:b w:val="0"/>
                <w:i w:val="0"/>
                <w:color w:val="17212B"/>
                <w:sz w:val="13"/>
              </w:rPr>
              <w:t>WHERE r.revenue_month &lt;= DATE '2026-04-01' GROUP BY c.persona;</w:t>
            </w:r>
          </w:p>
        </w:tc>
      </w:tr>
    </w:tbl>
    <w:p>
      <w:r>
        <w:br w:type="page"/>
      </w:r>
    </w:p>
    <w:p>
      <w:pPr>
        <w:spacing w:after="20"/>
      </w:pPr>
      <w:r>
        <w:rPr>
          <w:rFonts w:ascii="Arial" w:hAnsi="Arial"/>
          <w:b/>
          <w:i w:val="0"/>
          <w:color w:val="008C8C"/>
          <w:sz w:val="16"/>
        </w:rPr>
        <w:t>PAGE 2 • RANKED ACTIONS</w:t>
      </w:r>
    </w:p>
    <w:p>
      <w:pPr>
        <w:keepNext/>
        <w:spacing w:after="30"/>
      </w:pPr>
      <w:r>
        <w:rPr>
          <w:rFonts w:ascii="Arial" w:hAnsi="Arial"/>
          <w:b/>
          <w:i w:val="0"/>
          <w:color w:val="102A43"/>
          <w:sz w:val="40"/>
        </w:rPr>
        <w:t>Use simple evidence to choose where to test—not to claim causality</w:t>
      </w:r>
    </w:p>
    <w:p>
      <w:pPr>
        <w:spacing w:after="120"/>
      </w:pPr>
      <w:r>
        <w:rPr>
          <w:rFonts w:ascii="Arial" w:hAnsi="Arial"/>
          <w:b w:val="0"/>
          <w:i w:val="0"/>
          <w:color w:val="5E6C76"/>
          <w:sz w:val="17"/>
        </w:rPr>
        <w:t>Two initiatives, clearly weighted</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624"/>
        <w:gridCol w:w="2324"/>
        <w:gridCol w:w="3969"/>
        <w:gridCol w:w="3458"/>
      </w:tblGrid>
      <w:tr>
        <w:tc>
          <w:tcPr>
            <w:tcW w:type="dxa" w:w="2622"/>
            <w:tcMar>
              <w:top w:w="95" w:type="dxa"/>
              <w:start w:w="105" w:type="dxa"/>
              <w:bottom w:w="95" w:type="dxa"/>
              <w:end w:w="105" w:type="dxa"/>
            </w:tcMar>
            <w:vAlign w:val="center"/>
            <w:shd w:fill="008C8C"/>
          </w:tcPr>
          <w:p>
            <w:pPr>
              <w:jc w:val="center"/>
            </w:pPr>
            <w:r>
              <w:rPr>
                <w:rFonts w:ascii="Arial" w:hAnsi="Arial"/>
                <w:b/>
                <w:i w:val="0"/>
                <w:color w:val="FFFFFF"/>
                <w:sz w:val="32"/>
              </w:rPr>
              <w:t>1</w:t>
            </w:r>
          </w:p>
        </w:tc>
        <w:tc>
          <w:tcPr>
            <w:tcW w:type="dxa" w:w="2622"/>
            <w:tcMar>
              <w:top w:w="95" w:type="dxa"/>
              <w:start w:w="105" w:type="dxa"/>
              <w:bottom w:w="95" w:type="dxa"/>
              <w:end w:w="105" w:type="dxa"/>
            </w:tcMar>
            <w:vAlign w:val="center"/>
            <w:shd w:fill="EAF4F4"/>
          </w:tcPr>
          <w:p>
            <w:pPr>
              <w:spacing w:after="40" w:line="240" w:lineRule="auto"/>
            </w:pPr>
            <w:r>
              <w:rPr>
                <w:rFonts w:ascii="Arial" w:hAnsi="Arial"/>
                <w:b/>
                <w:i w:val="0"/>
                <w:color w:val="102A43"/>
                <w:sz w:val="18"/>
              </w:rPr>
              <w:t>Post-KYB activation test</w:t>
            </w:r>
          </w:p>
          <w:p>
            <w:pPr>
              <w:spacing w:after="0" w:line="240" w:lineRule="auto"/>
            </w:pPr>
            <w:r>
              <w:rPr>
                <w:rFonts w:ascii="Arial" w:hAnsi="Arial"/>
                <w:b w:val="0"/>
                <w:i w:val="0"/>
                <w:color w:val="5E6C76"/>
                <w:sz w:val="15"/>
              </w:rPr>
              <w:t>Randomise validated, unclosed, unactivated companies to improved onboarding versus business-as-usual; measure 90-day revenue per validated company.</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008C8C"/>
                <w:sz w:val="15"/>
              </w:rPr>
              <w:t>Raw evidence</w:t>
            </w:r>
          </w:p>
          <w:p>
            <w:pPr>
              <w:spacing w:after="0" w:line="240" w:lineRule="auto"/>
            </w:pPr>
            <w:r>
              <w:rPr>
                <w:rFonts w:ascii="Arial" w:hAnsi="Arial"/>
                <w:b w:val="0"/>
                <w:i w:val="0"/>
                <w:color w:val="17212B"/>
                <w:sz w:val="16"/>
              </w:rPr>
              <w:t>In the fair 90-day signup funnel, 66.5% validate, 76.1% of validated companies activate, and 50.6% activate overall (N=22,033).</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C95C3D"/>
                <w:sz w:val="15"/>
              </w:rPr>
              <w:t>Important limit</w:t>
            </w:r>
          </w:p>
          <w:p>
            <w:pPr>
              <w:spacing w:after="0" w:line="240" w:lineRule="auto"/>
            </w:pPr>
            <w:r>
              <w:rPr>
                <w:rFonts w:ascii="Arial" w:hAnsi="Arial"/>
                <w:b w:val="0"/>
                <w:i w:val="0"/>
                <w:color w:val="17212B"/>
                <w:sz w:val="15"/>
              </w:rPr>
              <w:t>Closure reasons, treatment cost, margin, product usage, and the achievable causal uplift are missing. Do not relax KYB controls.</w:t>
            </w:r>
          </w:p>
        </w:tc>
      </w:tr>
    </w:tbl>
    <w:p>
      <w:pPr>
        <w:spacing w:after="0"/>
      </w:pP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624"/>
        <w:gridCol w:w="2324"/>
        <w:gridCol w:w="3969"/>
        <w:gridCol w:w="3458"/>
      </w:tblGrid>
      <w:tr>
        <w:tc>
          <w:tcPr>
            <w:tcW w:type="dxa" w:w="2622"/>
            <w:tcMar>
              <w:top w:w="95" w:type="dxa"/>
              <w:start w:w="105" w:type="dxa"/>
              <w:bottom w:w="95" w:type="dxa"/>
              <w:end w:w="105" w:type="dxa"/>
            </w:tcMar>
            <w:vAlign w:val="center"/>
            <w:shd w:fill="E9A23B"/>
          </w:tcPr>
          <w:p>
            <w:pPr>
              <w:jc w:val="center"/>
            </w:pPr>
            <w:r>
              <w:rPr>
                <w:rFonts w:ascii="Arial" w:hAnsi="Arial"/>
                <w:b/>
                <w:i w:val="0"/>
                <w:color w:val="FFFFFF"/>
                <w:sz w:val="32"/>
              </w:rPr>
              <w:t>2</w:t>
            </w:r>
          </w:p>
        </w:tc>
        <w:tc>
          <w:tcPr>
            <w:tcW w:type="dxa" w:w="2622"/>
            <w:tcMar>
              <w:top w:w="95" w:type="dxa"/>
              <w:start w:w="105" w:type="dxa"/>
              <w:bottom w:w="95" w:type="dxa"/>
              <w:end w:w="105" w:type="dxa"/>
            </w:tcMar>
            <w:vAlign w:val="center"/>
            <w:shd w:fill="F3F5F7"/>
          </w:tcPr>
          <w:p>
            <w:pPr>
              <w:spacing w:after="40" w:line="240" w:lineRule="auto"/>
            </w:pPr>
            <w:r>
              <w:rPr>
                <w:rFonts w:ascii="Arial" w:hAnsi="Arial"/>
                <w:b/>
                <w:i w:val="0"/>
                <w:color w:val="102A43"/>
                <w:sz w:val="18"/>
              </w:rPr>
              <w:t>Revenue-decline diagnosis</w:t>
            </w:r>
          </w:p>
          <w:p>
            <w:pPr>
              <w:spacing w:after="0" w:line="240" w:lineRule="auto"/>
            </w:pPr>
            <w:r>
              <w:rPr>
                <w:rFonts w:ascii="Arial" w:hAnsi="Arial"/>
                <w:b w:val="0"/>
                <w:i w:val="0"/>
                <w:color w:val="5E6C76"/>
                <w:sz w:val="15"/>
              </w:rPr>
              <w:t>Use the decline as a diagnostic trigger and investigate the first missing-revenue month; monitor recoveries separately.</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008C8C"/>
                <w:sz w:val="15"/>
              </w:rPr>
              <w:t>Raw evidence</w:t>
            </w:r>
          </w:p>
          <w:p>
            <w:pPr>
              <w:spacing w:after="0" w:line="240" w:lineRule="auto"/>
            </w:pPr>
            <w:r>
              <w:rPr>
                <w:rFonts w:ascii="Arial" w:hAnsi="Arial"/>
                <w:b w:val="0"/>
                <w:i w:val="0"/>
                <w:color w:val="17212B"/>
                <w:sz w:val="16"/>
              </w:rPr>
              <w:t>1,543 of 13,189 March-April active companies (11.70%) fell ≥30% and €10; 424 had a first April gap.</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C95C3D"/>
                <w:sz w:val="15"/>
              </w:rPr>
              <w:t>Important limit</w:t>
            </w:r>
          </w:p>
          <w:p>
            <w:pPr>
              <w:spacing w:after="0" w:line="240" w:lineRule="auto"/>
            </w:pPr>
            <w:r>
              <w:rPr>
                <w:rFonts w:ascii="Arial" w:hAnsi="Arial"/>
                <w:b w:val="0"/>
                <w:i w:val="0"/>
                <w:color w:val="17212B"/>
                <w:sz w:val="15"/>
              </w:rPr>
              <w:t>Two months are noisy. This is not churn, forecast loss, or proof that outreach will recover revenue.</w:t>
            </w:r>
          </w:p>
        </w:tc>
      </w:tr>
    </w:tbl>
    <w:p>
      <w:pPr>
        <w:spacing w:after="0"/>
      </w:pPr>
    </w:p>
    <w:p>
      <w:pPr>
        <w:spacing w:before="40" w:after="20"/>
        <w:jc w:val="center"/>
      </w:pPr>
      <w:r>
        <w:drawing>
          <wp:inline xmlns:a="http://schemas.openxmlformats.org/drawingml/2006/main" xmlns:pic="http://schemas.openxmlformats.org/drawingml/2006/picture">
            <wp:extent cx="6336000" cy="2287022"/>
            <wp:docPr id="2" name="Picture 2"/>
            <wp:cNvGraphicFramePr>
              <a:graphicFrameLocks noChangeAspect="1"/>
            </wp:cNvGraphicFramePr>
            <a:graphic>
              <a:graphicData uri="http://schemas.openxmlformats.org/drawingml/2006/picture">
                <pic:pic>
                  <pic:nvPicPr>
                    <pic:cNvPr id="0" name="simple_raw_trend_and_decline.png"/>
                    <pic:cNvPicPr/>
                  </pic:nvPicPr>
                  <pic:blipFill>
                    <a:blip r:embed="rId11"/>
                    <a:stretch>
                      <a:fillRect/>
                    </a:stretch>
                  </pic:blipFill>
                  <pic:spPr>
                    <a:xfrm>
                      <a:off x="0" y="0"/>
                      <a:ext cx="6336000" cy="2287022"/>
                    </a:xfrm>
                    <a:prstGeom prst="rect"/>
                  </pic:spPr>
                </pic:pic>
              </a:graphicData>
            </a:graphic>
          </wp:inline>
        </w:drawing>
      </w:r>
    </w:p>
    <w:p>
      <w:pPr>
        <w:keepNext/>
        <w:spacing w:before="60" w:after="60"/>
      </w:pPr>
      <w:r>
        <w:rPr>
          <w:rFonts w:ascii="Arial" w:hAnsi="Arial"/>
          <w:b/>
          <w:i w:val="0"/>
          <w:color w:val="102A43"/>
          <w:sz w:val="21"/>
        </w:rPr>
        <w:t>Alternatives considered</w:t>
      </w:r>
    </w:p>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2608"/>
        <w:gridCol w:w="7767"/>
      </w:tblGrid>
      <w:tr>
        <w:trPr>
          <w:tblHeader w:val="true"/>
        </w:trPr>
        <w:tc>
          <w:tcPr>
            <w:tcW w:type="dxa" w:w="5244"/>
            <w:shd w:fill="102A43"/>
            <w:tcMar>
              <w:top w:w="65" w:type="dxa"/>
              <w:start w:w="90" w:type="dxa"/>
              <w:bottom w:w="65" w:type="dxa"/>
              <w:end w:w="90" w:type="dxa"/>
            </w:tcMar>
          </w:tcPr>
          <w:p>
            <w:pPr>
              <w:spacing w:after="0" w:line="240" w:lineRule="auto"/>
            </w:pPr>
            <w:r>
              <w:rPr>
                <w:rFonts w:ascii="Arial" w:hAnsi="Arial"/>
                <w:b/>
                <w:i w:val="0"/>
                <w:color w:val="FFFFFF"/>
                <w:sz w:val="15"/>
              </w:rPr>
              <w:t>Alternative</w:t>
            </w:r>
          </w:p>
        </w:tc>
        <w:tc>
          <w:tcPr>
            <w:tcW w:type="dxa" w:w="5244"/>
            <w:shd w:fill="102A43"/>
            <w:tcMar>
              <w:top w:w="65" w:type="dxa"/>
              <w:start w:w="90" w:type="dxa"/>
              <w:bottom w:w="65" w:type="dxa"/>
              <w:end w:w="90" w:type="dxa"/>
            </w:tcMar>
          </w:tcPr>
          <w:p>
            <w:pPr>
              <w:spacing w:after="0" w:line="240" w:lineRule="auto"/>
            </w:pPr>
            <w:r>
              <w:rPr>
                <w:rFonts w:ascii="Arial" w:hAnsi="Arial"/>
                <w:b/>
                <w:i w:val="0"/>
                <w:color w:val="FFFFFF"/>
                <w:sz w:val="15"/>
              </w:rPr>
              <w:t>Why it is not the lead</w:t>
            </w:r>
          </w:p>
        </w:tc>
      </w:tr>
      <w:tr>
        <w:trPr>
          <w:cantSplit/>
        </w:trPr>
        <w:tc>
          <w:tcPr>
            <w:tcW w:type="dxa" w:w="2608"/>
            <w:shd w:fill="FFFFFF"/>
            <w:tcMar>
              <w:top w:w="52" w:type="dxa"/>
              <w:start w:w="85" w:type="dxa"/>
              <w:bottom w:w="52" w:type="dxa"/>
              <w:end w:w="85" w:type="dxa"/>
            </w:tcMar>
          </w:tcPr>
          <w:p>
            <w:pPr>
              <w:spacing w:after="0" w:line="240" w:lineRule="auto"/>
            </w:pPr>
            <w:r>
              <w:rPr>
                <w:rFonts w:ascii="Arial" w:hAnsi="Arial"/>
                <w:b/>
                <w:i w:val="0"/>
                <w:color w:val="102A43"/>
                <w:sz w:val="14"/>
              </w:rPr>
              <w:t>Acquire Business</w:t>
            </w:r>
          </w:p>
        </w:tc>
        <w:tc>
          <w:tcPr>
            <w:tcW w:type="dxa" w:w="7767"/>
            <w:shd w:fill="FFFFFF"/>
            <w:tcMar>
              <w:top w:w="52" w:type="dxa"/>
              <w:start w:w="85" w:type="dxa"/>
              <w:bottom w:w="52" w:type="dxa"/>
              <w:end w:w="85" w:type="dxa"/>
            </w:tcMar>
          </w:tcPr>
          <w:p>
            <w:pPr>
              <w:spacing w:after="0" w:line="240" w:lineRule="auto"/>
            </w:pPr>
            <w:r>
              <w:rPr>
                <w:rFonts w:ascii="Arial" w:hAnsi="Arial"/>
                <w:b w:val="0"/>
                <w:i w:val="0"/>
                <w:color w:val="17212B"/>
                <w:sz w:val="14"/>
              </w:rPr>
              <w:t>High revenue/company, but only 262 April revenue companies and 6.79% of April revenue.</w:t>
            </w:r>
          </w:p>
        </w:tc>
      </w:tr>
      <w:tr>
        <w:trPr>
          <w:cantSplit/>
        </w:trPr>
        <w:tc>
          <w:tcPr>
            <w:tcW w:type="dxa" w:w="2608"/>
            <w:shd w:fill="F3F5F7"/>
            <w:tcMar>
              <w:top w:w="52" w:type="dxa"/>
              <w:start w:w="85" w:type="dxa"/>
              <w:bottom w:w="52" w:type="dxa"/>
              <w:end w:w="85" w:type="dxa"/>
            </w:tcMar>
          </w:tcPr>
          <w:p>
            <w:pPr>
              <w:spacing w:after="0" w:line="240" w:lineRule="auto"/>
            </w:pPr>
            <w:r>
              <w:rPr>
                <w:rFonts w:ascii="Arial" w:hAnsi="Arial"/>
                <w:b/>
                <w:i w:val="0"/>
                <w:color w:val="102A43"/>
                <w:sz w:val="14"/>
              </w:rPr>
              <w:t>Immediate plan upsell</w:t>
            </w:r>
          </w:p>
        </w:tc>
        <w:tc>
          <w:tcPr>
            <w:tcW w:type="dxa" w:w="7767"/>
            <w:shd w:fill="F3F5F7"/>
            <w:tcMar>
              <w:top w:w="52" w:type="dxa"/>
              <w:start w:w="85" w:type="dxa"/>
              <w:bottom w:w="52" w:type="dxa"/>
              <w:end w:w="85" w:type="dxa"/>
            </w:tcMar>
          </w:tcPr>
          <w:p>
            <w:pPr>
              <w:spacing w:after="0" w:line="240" w:lineRule="auto"/>
            </w:pPr>
            <w:r>
              <w:rPr>
                <w:rFonts w:ascii="Arial" w:hAnsi="Arial"/>
                <w:b w:val="0"/>
                <w:i w:val="0"/>
                <w:color w:val="17212B"/>
                <w:sz w:val="14"/>
              </w:rPr>
              <w:t>Initial plan is not current plan and correlation is not a causal effect.</w:t>
            </w:r>
          </w:p>
        </w:tc>
      </w:tr>
      <w:tr>
        <w:trPr>
          <w:cantSplit/>
        </w:trPr>
        <w:tc>
          <w:tcPr>
            <w:tcW w:type="dxa" w:w="2608"/>
            <w:shd w:fill="FFFFFF"/>
            <w:tcMar>
              <w:top w:w="52" w:type="dxa"/>
              <w:start w:w="85" w:type="dxa"/>
              <w:bottom w:w="52" w:type="dxa"/>
              <w:end w:w="85" w:type="dxa"/>
            </w:tcMar>
          </w:tcPr>
          <w:p>
            <w:pPr>
              <w:spacing w:after="0" w:line="240" w:lineRule="auto"/>
            </w:pPr>
            <w:r>
              <w:rPr>
                <w:rFonts w:ascii="Arial" w:hAnsi="Arial"/>
                <w:b/>
                <w:i w:val="0"/>
                <w:color w:val="102A43"/>
                <w:sz w:val="14"/>
              </w:rPr>
              <w:t>Blanket churn campaign</w:t>
            </w:r>
          </w:p>
        </w:tc>
        <w:tc>
          <w:tcPr>
            <w:tcW w:type="dxa" w:w="7767"/>
            <w:shd w:fill="FFFFFF"/>
            <w:tcMar>
              <w:top w:w="52" w:type="dxa"/>
              <w:start w:w="85" w:type="dxa"/>
              <w:bottom w:w="52" w:type="dxa"/>
              <w:end w:w="85" w:type="dxa"/>
            </w:tcMar>
          </w:tcPr>
          <w:p>
            <w:pPr>
              <w:spacing w:after="0" w:line="240" w:lineRule="auto"/>
            </w:pPr>
            <w:r>
              <w:rPr>
                <w:rFonts w:ascii="Arial" w:hAnsi="Arial"/>
                <w:b w:val="0"/>
                <w:i w:val="0"/>
                <w:color w:val="17212B"/>
                <w:sz w:val="14"/>
              </w:rPr>
              <w:t>A decline, revenue gap, or company closure does not prove customer churn.</w:t>
            </w:r>
          </w:p>
        </w:tc>
      </w:tr>
      <w:tr>
        <w:trPr>
          <w:cantSplit/>
        </w:trPr>
        <w:tc>
          <w:tcPr>
            <w:tcW w:type="dxa" w:w="2608"/>
            <w:shd w:fill="F3F5F7"/>
            <w:tcMar>
              <w:top w:w="52" w:type="dxa"/>
              <w:start w:w="85" w:type="dxa"/>
              <w:bottom w:w="52" w:type="dxa"/>
              <w:end w:w="85" w:type="dxa"/>
            </w:tcMar>
          </w:tcPr>
          <w:p>
            <w:pPr>
              <w:spacing w:after="0" w:line="240" w:lineRule="auto"/>
            </w:pPr>
            <w:r>
              <w:rPr>
                <w:rFonts w:ascii="Arial" w:hAnsi="Arial"/>
                <w:b/>
                <w:i w:val="0"/>
                <w:color w:val="102A43"/>
                <w:sz w:val="14"/>
              </w:rPr>
              <w:t>Headline May</w:t>
            </w:r>
          </w:p>
        </w:tc>
        <w:tc>
          <w:tcPr>
            <w:tcW w:type="dxa" w:w="7767"/>
            <w:shd w:fill="F3F5F7"/>
            <w:tcMar>
              <w:top w:w="52" w:type="dxa"/>
              <w:start w:w="85" w:type="dxa"/>
              <w:bottom w:w="52" w:type="dxa"/>
              <w:end w:w="85" w:type="dxa"/>
            </w:tcMar>
          </w:tcPr>
          <w:p>
            <w:pPr>
              <w:spacing w:after="0" w:line="240" w:lineRule="auto"/>
            </w:pPr>
            <w:r>
              <w:rPr>
                <w:rFonts w:ascii="Arial" w:hAnsi="Arial"/>
                <w:b w:val="0"/>
                <w:i w:val="0"/>
                <w:color w:val="17212B"/>
                <w:sz w:val="14"/>
              </w:rPr>
              <w:t>May revenue is retained as sensitivity, but signup coverage is incomplete.</w:t>
            </w:r>
          </w:p>
        </w:tc>
      </w:tr>
    </w:tbl>
    <w:p>
      <w:r>
        <w:br w:type="page"/>
      </w:r>
    </w:p>
    <w:p>
      <w:pPr>
        <w:spacing w:after="20"/>
      </w:pPr>
      <w:r>
        <w:rPr>
          <w:rFonts w:ascii="Arial" w:hAnsi="Arial"/>
          <w:b/>
          <w:i w:val="0"/>
          <w:color w:val="008C8C"/>
          <w:sz w:val="16"/>
        </w:rPr>
        <w:t>PAGE 3 • TRANSPARENCY AND PROOF</w:t>
      </w:r>
    </w:p>
    <w:p>
      <w:pPr>
        <w:keepNext/>
        <w:spacing w:after="30"/>
      </w:pPr>
      <w:r>
        <w:rPr>
          <w:rFonts w:ascii="Arial" w:hAnsi="Arial"/>
          <w:b/>
          <w:i w:val="0"/>
          <w:color w:val="102A43"/>
          <w:sz w:val="40"/>
        </w:rPr>
        <w:t>Start simple; use advanced SQL to test whether the story survives</w:t>
      </w:r>
    </w:p>
    <w:p>
      <w:pPr>
        <w:spacing w:after="120"/>
      </w:pPr>
      <w:r>
        <w:rPr>
          <w:rFonts w:ascii="Arial" w:hAnsi="Arial"/>
          <w:b w:val="0"/>
          <w:i w:val="0"/>
          <w:color w:val="5E6C76"/>
          <w:sz w:val="17"/>
        </w:rPr>
        <w:t>Raw numbers remain the entry point—the model is the validation layer</w:t>
      </w:r>
    </w:p>
    <w:p>
      <w:pPr>
        <w:keepNext/>
        <w:spacing w:before="0" w:after="60"/>
      </w:pPr>
      <w:r>
        <w:rPr>
          <w:rFonts w:ascii="Arial" w:hAnsi="Arial"/>
          <w:b/>
          <w:i w:val="0"/>
          <w:color w:val="102A43"/>
          <w:sz w:val="21"/>
        </w:rPr>
        <w:t>What each layer answers</w:t>
      </w:r>
    </w:p>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1871"/>
        <w:gridCol w:w="2381"/>
        <w:gridCol w:w="2835"/>
        <w:gridCol w:w="3288"/>
      </w:tblGrid>
      <w:tr>
        <w:trPr>
          <w:tblHeader w:val="true"/>
        </w:trPr>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Question</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Simple view</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Advanced check</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Where</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Largest persona</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April and cumulative GROUP BY</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Equal-tenure first 3 complete months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sql/revenue_concentration_analysis.sql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Revenue concentration</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Not used to pick the segment</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Top-10/top-20 and Pareto sensitivities</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sql/revenue_concentration_analysis.sql</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Account health</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March-to-April decline</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Trailing median + continuity states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sql/presentation_kpis.sql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Inactivity</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Missing revenue row</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Return curve and lifecycle states</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sql/kpi_deep_dive.sql</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Cohorts</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Not answered</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Equal-age cohort transitions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sql/cohort_state_analysis.sql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Loyalty</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Not answered</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Streak persistence and restart</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sql/streak_analysis.sql</w:t>
            </w:r>
          </w:p>
        </w:tc>
      </w:tr>
    </w:tbl>
    <w:p>
      <w:pPr>
        <w:keepNext/>
        <w:spacing w:before="60" w:after="60"/>
      </w:pPr>
      <w:r>
        <w:rPr>
          <w:rFonts w:ascii="Arial" w:hAnsi="Arial"/>
          <w:b/>
          <w:i w:val="0"/>
          <w:color w:val="102A43"/>
          <w:sz w:val="21"/>
        </w:rPr>
        <w:t>The useful triangulation</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3458"/>
        <w:gridCol w:w="3458"/>
        <w:gridCol w:w="3458"/>
      </w:tblGrid>
      <w:tr>
        <w:tc>
          <w:tcPr>
            <w:tcW w:type="dxa" w:w="3496"/>
            <w:shd w:fill="F3F5F7"/>
            <w:tcMar>
              <w:top w:w="105" w:type="dxa"/>
              <w:start w:w="110" w:type="dxa"/>
              <w:bottom w:w="105" w:type="dxa"/>
              <w:end w:w="110" w:type="dxa"/>
            </w:tcMar>
          </w:tcPr>
          <w:p>
            <w:pPr>
              <w:jc w:val="center"/>
            </w:pPr>
            <w:r>
              <w:rPr>
                <w:rFonts w:ascii="Arial" w:hAnsi="Arial"/>
                <w:b/>
                <w:i w:val="0"/>
                <w:color w:val="102A43"/>
                <w:sz w:val="32"/>
              </w:rPr>
              <w:t>24.06%</w:t>
            </w:r>
          </w:p>
          <w:p>
            <w:pPr>
              <w:jc w:val="center"/>
            </w:pPr>
            <w:r>
              <w:rPr>
                <w:rFonts w:ascii="Arial" w:hAnsi="Arial"/>
                <w:b/>
                <w:i w:val="0"/>
                <w:color w:val="17212B"/>
                <w:sz w:val="16"/>
              </w:rPr>
              <w:t>BTP share in April</w:t>
            </w:r>
          </w:p>
          <w:p>
            <w:pPr>
              <w:jc w:val="center"/>
            </w:pPr>
            <w:r>
              <w:rPr>
                <w:rFonts w:ascii="Arial" w:hAnsi="Arial"/>
                <w:b w:val="0"/>
                <w:i w:val="0"/>
                <w:color w:val="5E6C76"/>
                <w:sz w:val="14"/>
              </w:rPr>
              <w:t>simple current snapshot</w:t>
            </w:r>
          </w:p>
        </w:tc>
        <w:tc>
          <w:tcPr>
            <w:tcW w:type="dxa" w:w="3496"/>
            <w:shd w:fill="F3F5F7"/>
            <w:tcMar>
              <w:top w:w="105" w:type="dxa"/>
              <w:start w:w="110" w:type="dxa"/>
              <w:bottom w:w="105" w:type="dxa"/>
              <w:end w:w="110" w:type="dxa"/>
            </w:tcMar>
          </w:tcPr>
          <w:p>
            <w:pPr>
              <w:jc w:val="center"/>
            </w:pPr>
            <w:r>
              <w:rPr>
                <w:rFonts w:ascii="Arial" w:hAnsi="Arial"/>
                <w:b/>
                <w:i w:val="0"/>
                <w:color w:val="102A43"/>
                <w:sz w:val="32"/>
              </w:rPr>
              <w:t>25.42%</w:t>
            </w:r>
          </w:p>
          <w:p>
            <w:pPr>
              <w:jc w:val="center"/>
            </w:pPr>
            <w:r>
              <w:rPr>
                <w:rFonts w:ascii="Arial" w:hAnsi="Arial"/>
                <w:b/>
                <w:i w:val="0"/>
                <w:color w:val="17212B"/>
                <w:sz w:val="16"/>
              </w:rPr>
              <w:t>BTP share through April</w:t>
            </w:r>
          </w:p>
          <w:p>
            <w:pPr>
              <w:jc w:val="center"/>
            </w:pPr>
            <w:r>
              <w:rPr>
                <w:rFonts w:ascii="Arial" w:hAnsi="Arial"/>
                <w:b w:val="0"/>
                <w:i w:val="0"/>
                <w:color w:val="5E6C76"/>
                <w:sz w:val="14"/>
              </w:rPr>
              <w:t>simple cumulative view</w:t>
            </w:r>
          </w:p>
        </w:tc>
        <w:tc>
          <w:tcPr>
            <w:tcW w:type="dxa" w:w="3496"/>
            <w:shd w:fill="EAF4F4"/>
            <w:tcMar>
              <w:top w:w="105" w:type="dxa"/>
              <w:start w:w="110" w:type="dxa"/>
              <w:bottom w:w="105" w:type="dxa"/>
              <w:end w:w="110" w:type="dxa"/>
            </w:tcMar>
          </w:tcPr>
          <w:p>
            <w:pPr>
              <w:jc w:val="center"/>
            </w:pPr>
            <w:r>
              <w:rPr>
                <w:rFonts w:ascii="Arial" w:hAnsi="Arial"/>
                <w:b/>
                <w:i w:val="0"/>
                <w:color w:val="008C8C"/>
                <w:sz w:val="32"/>
              </w:rPr>
              <w:t>26.74%</w:t>
            </w:r>
          </w:p>
          <w:p>
            <w:pPr>
              <w:jc w:val="center"/>
            </w:pPr>
            <w:r>
              <w:rPr>
                <w:rFonts w:ascii="Arial" w:hAnsi="Arial"/>
                <w:b/>
                <w:i w:val="0"/>
                <w:color w:val="17212B"/>
                <w:sz w:val="16"/>
              </w:rPr>
              <w:t>BTP equal-tenure share</w:t>
            </w:r>
          </w:p>
          <w:p>
            <w:pPr>
              <w:jc w:val="center"/>
            </w:pPr>
            <w:r>
              <w:rPr>
                <w:rFonts w:ascii="Arial" w:hAnsi="Arial"/>
                <w:b w:val="0"/>
                <w:i w:val="0"/>
                <w:color w:val="5E6C76"/>
                <w:sz w:val="14"/>
              </w:rPr>
              <w:t>advanced confirmation</w:t>
            </w:r>
          </w:p>
        </w:tc>
      </w:tr>
    </w:tbl>
    <w:p>
      <w:pPr>
        <w:keepNext/>
        <w:spacing w:before="60" w:after="60"/>
      </w:pPr>
      <w:r>
        <w:rPr>
          <w:rFonts w:ascii="Arial" w:hAnsi="Arial"/>
          <w:b/>
          <w:i w:val="0"/>
          <w:color w:val="102A43"/>
          <w:sz w:val="21"/>
        </w:rPr>
        <w:t>Lead experiment and validation</w:t>
      </w:r>
    </w:p>
    <w:p>
      <w:pPr>
        <w:pStyle w:val="ListBullet"/>
        <w:spacing w:after="30" w:line="240" w:lineRule="auto"/>
        <w:ind w:left="255" w:hanging="125"/>
      </w:pPr>
      <w:r>
        <w:rPr>
          <w:rFonts w:ascii="Arial" w:hAnsi="Arial"/>
          <w:b w:val="0"/>
          <w:i w:val="0"/>
          <w:color w:val="17212B"/>
          <w:sz w:val="16"/>
        </w:rPr>
        <w:t>Randomise validated, unclosed, unactivated companies to improved onboarding versus business-as-usual; stratify by persona and initial plan.</w:t>
      </w:r>
    </w:p>
    <w:p>
      <w:pPr>
        <w:pStyle w:val="ListBullet"/>
        <w:spacing w:after="30" w:line="240" w:lineRule="auto"/>
        <w:ind w:left="255" w:hanging="125"/>
      </w:pPr>
      <w:r>
        <w:rPr>
          <w:rFonts w:ascii="Arial" w:hAnsi="Arial"/>
          <w:b w:val="0"/>
          <w:i w:val="0"/>
          <w:color w:val="17212B"/>
          <w:sz w:val="16"/>
        </w:rPr>
        <w:t>Use 90-day cumulative revenue per validated company as the primary outcome; activation is the leading indicator.</w:t>
      </w:r>
    </w:p>
    <w:p>
      <w:pPr>
        <w:pStyle w:val="ListBullet"/>
        <w:spacing w:after="30" w:line="240" w:lineRule="auto"/>
        <w:ind w:left="255" w:hanging="125"/>
      </w:pPr>
      <w:r>
        <w:rPr>
          <w:rFonts w:ascii="Arial" w:hAnsi="Arial"/>
          <w:b w:val="0"/>
          <w:i w:val="0"/>
          <w:color w:val="17212B"/>
          <w:sz w:val="16"/>
        </w:rPr>
        <w:t>Validate closure meaning, funnel eligibility, treatment cost, margin, product use, channel/CAC, and permitted KYB use.</w:t>
      </w:r>
    </w:p>
    <w:p>
      <w:pPr>
        <w:spacing w:before="60" w:after="20"/>
      </w:pPr>
      <w:r>
        <w:rPr>
          <w:rFonts w:ascii="Arial" w:hAnsi="Arial"/>
          <w:b/>
          <w:i w:val="0"/>
          <w:color w:val="008C8C"/>
          <w:sz w:val="15"/>
        </w:rPr>
        <w:t xml:space="preserve">Simple SQL appendix: </w:t>
      </w:r>
      <w:r>
        <w:rPr>
          <w:rFonts w:ascii="Arial" w:hAnsi="Arial"/>
          <w:b w:val="0"/>
          <w:i w:val="0"/>
          <w:color w:val="17212B"/>
          <w:sz w:val="15"/>
        </w:rPr>
        <w:t>sql/simple_raw_memo_queries.sql</w:t>
      </w:r>
    </w:p>
    <w:p>
      <w:pPr>
        <w:spacing w:after="20"/>
      </w:pPr>
      <w:r>
        <w:rPr>
          <w:rFonts w:ascii="Arial" w:hAnsi="Arial"/>
          <w:b/>
          <w:i w:val="0"/>
          <w:color w:val="008C8C"/>
          <w:sz w:val="15"/>
        </w:rPr>
        <w:t xml:space="preserve">Advanced SQL: </w:t>
      </w:r>
      <w:r>
        <w:rPr>
          <w:rFonts w:ascii="Arial" w:hAnsi="Arial"/>
          <w:b w:val="0"/>
          <w:i w:val="0"/>
          <w:color w:val="5E6C76"/>
          <w:sz w:val="14"/>
        </w:rPr>
        <w:t>revenue_concentration_analysis.sql • presentation_kpis.sql • cohort_state_analysis.sql • streak_analysis.sql • kpi_deep_dive.sql</w:t>
      </w:r>
    </w:p>
    <w:p>
      <w:pPr>
        <w:spacing w:after="0"/>
      </w:pPr>
      <w:r>
        <w:rPr>
          <w:rFonts w:ascii="Arial" w:hAnsi="Arial"/>
          <w:b/>
          <w:i w:val="0"/>
          <w:color w:val="008C8C"/>
          <w:sz w:val="15"/>
        </w:rPr>
        <w:t xml:space="preserve">External context: </w:t>
      </w:r>
      <w:r>
        <w:rPr>
          <w:rFonts w:ascii="Arial" w:hAnsi="Arial"/>
          <w:b w:val="0"/>
          <w:i w:val="0"/>
          <w:color w:val="5E6C76"/>
          <w:sz w:val="14"/>
        </w:rPr>
        <w:t>docs/research/SHINE_MARKET_RESEARCH_AND_STRATEGY.md</w:t>
      </w:r>
    </w:p>
    <w:p>
      <w:r>
        <w:br w:type="page"/>
      </w:r>
    </w:p>
    <w:p>
      <w:pPr>
        <w:spacing w:after="20"/>
      </w:pPr>
      <w:r>
        <w:rPr>
          <w:rFonts w:ascii="Arial" w:hAnsi="Arial"/>
          <w:b/>
          <w:i w:val="0"/>
          <w:color w:val="008C8C"/>
          <w:sz w:val="16"/>
        </w:rPr>
        <w:t>PAGE 4 • REVENUE-COMPONENT HEATMAP</w:t>
      </w:r>
    </w:p>
    <w:p>
      <w:pPr>
        <w:keepNext/>
        <w:spacing w:after="30"/>
      </w:pPr>
      <w:r>
        <w:rPr>
          <w:rFonts w:ascii="Arial" w:hAnsi="Arial"/>
          <w:b/>
          <w:i w:val="0"/>
          <w:color w:val="102A43"/>
          <w:sz w:val="40"/>
        </w:rPr>
        <w:t>BTP combines broad scale with strong cumulative monetization</w:t>
      </w:r>
    </w:p>
    <w:p>
      <w:pPr>
        <w:spacing w:after="120"/>
      </w:pPr>
      <w:r>
        <w:rPr>
          <w:rFonts w:ascii="Arial" w:hAnsi="Arial"/>
          <w:b w:val="0"/>
          <w:i w:val="0"/>
          <w:color w:val="5E6C76"/>
          <w:sz w:val="17"/>
        </w:rPr>
        <w:t>Simple raw-data view • Cumulative through April 2026 • May excluded</w:t>
      </w:r>
    </w:p>
    <w:p>
      <w:pPr>
        <w:spacing w:before="40" w:after="40"/>
        <w:jc w:val="center"/>
      </w:pPr>
      <w:r>
        <w:drawing>
          <wp:inline xmlns:a="http://schemas.openxmlformats.org/drawingml/2006/main" xmlns:pic="http://schemas.openxmlformats.org/drawingml/2006/picture">
            <wp:extent cx="6083999" cy="4356946"/>
            <wp:docPr id="3" name="Picture 3"/>
            <wp:cNvGraphicFramePr>
              <a:graphicFrameLocks noChangeAspect="1"/>
            </wp:cNvGraphicFramePr>
            <a:graphic>
              <a:graphicData uri="http://schemas.openxmlformats.org/drawingml/2006/picture">
                <pic:pic>
                  <pic:nvPicPr>
                    <pic:cNvPr id="0" name="simple_raw_revenue_per_company_heatmap.png"/>
                    <pic:cNvPicPr/>
                  </pic:nvPicPr>
                  <pic:blipFill>
                    <a:blip r:embed="rId12"/>
                    <a:stretch>
                      <a:fillRect/>
                    </a:stretch>
                  </pic:blipFill>
                  <pic:spPr>
                    <a:xfrm>
                      <a:off x="0" y="0"/>
                      <a:ext cx="6083999" cy="4356946"/>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85" w:type="dxa"/>
              <w:start w:w="105" w:type="dxa"/>
              <w:bottom w:w="85" w:type="dxa"/>
              <w:end w:w="105" w:type="dxa"/>
            </w:tcMar>
            <w:shd w:fill="EAF4F4"/>
          </w:tcPr>
          <w:p>
            <w:pPr>
              <w:spacing w:after="40" w:line="240" w:lineRule="auto"/>
            </w:pPr>
            <w:r>
              <w:rPr>
                <w:rFonts w:ascii="Arial" w:hAnsi="Arial"/>
                <w:b/>
                <w:i w:val="0"/>
                <w:color w:val="008C8C"/>
                <w:sz w:val="17"/>
              </w:rPr>
              <w:t>How to read it</w:t>
            </w:r>
          </w:p>
          <w:p>
            <w:pPr>
              <w:spacing w:after="40" w:line="240" w:lineRule="auto"/>
            </w:pPr>
            <w:r>
              <w:rPr>
                <w:rFonts w:ascii="Arial" w:hAnsi="Arial"/>
                <w:b w:val="0"/>
                <w:i w:val="0"/>
                <w:color w:val="17212B"/>
                <w:sz w:val="15"/>
              </w:rPr>
              <w:t>Each coloured cell is the cumulative sum of that revenue component divided by distinct companies with at least one revenue row through April. Darker cells mean more cumulative euros per such company.</w:t>
            </w:r>
          </w:p>
          <w:p>
            <w:pPr>
              <w:spacing w:after="40" w:line="240" w:lineRule="auto"/>
            </w:pPr>
            <w:r>
              <w:rPr>
                <w:rFonts w:ascii="Arial" w:hAnsi="Arial"/>
                <w:b w:val="0"/>
                <w:i w:val="0"/>
                <w:color w:val="17212B"/>
                <w:sz w:val="15"/>
              </w:rPr>
              <w:t>The neutral Total column is the sum of the four components and determines the descending row order. It is deliberately excluded from the colour scale so it does not wash out the component differences.</w:t>
            </w:r>
          </w:p>
          <w:p>
            <w:pPr>
              <w:spacing w:after="0" w:line="240" w:lineRule="auto"/>
            </w:pPr>
            <w:r>
              <w:rPr>
                <w:rFonts w:ascii="Arial" w:hAnsi="Arial"/>
                <w:b w:val="0"/>
                <w:i w:val="0"/>
                <w:color w:val="17212B"/>
                <w:sz w:val="15"/>
              </w:rPr>
              <w:t>Use Page 1 revenue-share bars for segment scale; use this heatmap to compare monetization intensity and identify which revenue types drive it.</w:t>
            </w:r>
          </w:p>
        </w:tc>
        <w:tc>
          <w:tcPr>
            <w:tcW w:type="dxa" w:w="5244"/>
            <w:tcMar>
              <w:top w:w="85" w:type="dxa"/>
              <w:start w:w="105" w:type="dxa"/>
              <w:bottom w:w="85" w:type="dxa"/>
              <w:end w:w="105" w:type="dxa"/>
            </w:tcMar>
            <w:shd w:fill="F3F5F7"/>
          </w:tcPr>
          <w:p>
            <w:pPr>
              <w:spacing w:after="40" w:line="240" w:lineRule="auto"/>
            </w:pPr>
            <w:r>
              <w:rPr>
                <w:rFonts w:ascii="Arial" w:hAnsi="Arial"/>
                <w:b/>
                <w:i w:val="0"/>
                <w:color w:val="C95C3D"/>
                <w:sz w:val="17"/>
              </w:rPr>
              <w:t>Limitations</w:t>
            </w:r>
          </w:p>
          <w:p>
            <w:pPr>
              <w:spacing w:after="40" w:line="240" w:lineRule="auto"/>
            </w:pPr>
            <w:r>
              <w:rPr>
                <w:rFonts w:ascii="Arial" w:hAnsi="Arial"/>
                <w:b w:val="0"/>
                <w:i w:val="0"/>
                <w:color w:val="17212B"/>
                <w:sz w:val="15"/>
              </w:rPr>
              <w:t>This is cumulative revenue per revenue company, not a monthly average. Older companies have had more months to accumulate revenue, so tenure can influence the ranking.</w:t>
            </w:r>
          </w:p>
          <w:p>
            <w:pPr>
              <w:spacing w:after="0" w:line="240" w:lineRule="auto"/>
            </w:pPr>
            <w:r>
              <w:rPr>
                <w:rFonts w:ascii="Arial" w:hAnsi="Arial"/>
                <w:b w:val="0"/>
                <w:i w:val="0"/>
                <w:color w:val="17212B"/>
                <w:sz w:val="15"/>
              </w:rPr>
              <w:t>The inner join excludes companies with no revenue row. Small personas can also be volatile—especially Repair Installation (n=38). Revenue is not profit and does not prove that persona membership caused performance.</w:t>
            </w:r>
          </w:p>
        </w:tc>
      </w:tr>
    </w:tbl>
    <w:p>
      <w:pPr>
        <w:spacing w:before="60" w:after="0"/>
      </w:pPr>
      <w:r>
        <w:rPr>
          <w:rFonts w:ascii="Arial" w:hAnsi="Arial"/>
          <w:b/>
          <w:i w:val="0"/>
          <w:color w:val="008C8C"/>
          <w:sz w:val="15"/>
        </w:rPr>
        <w:t xml:space="preserve">Reproducible SQL: </w:t>
      </w:r>
      <w:r>
        <w:rPr>
          <w:rFonts w:ascii="Arial" w:hAnsi="Arial"/>
          <w:b w:val="0"/>
          <w:i w:val="0"/>
          <w:color w:val="17212B"/>
          <w:sz w:val="15"/>
        </w:rPr>
        <w:t>Query 9 in sql/simple_raw_memo_queries.sql</w:t>
      </w:r>
    </w:p>
    <w:p>
      <w:r>
        <w:br w:type="page"/>
      </w:r>
    </w:p>
    <w:p>
      <w:pPr>
        <w:spacing w:after="20"/>
      </w:pPr>
      <w:r>
        <w:rPr>
          <w:rFonts w:ascii="Arial" w:hAnsi="Arial"/>
          <w:b/>
          <w:i w:val="0"/>
          <w:color w:val="008C8C"/>
          <w:sz w:val="16"/>
        </w:rPr>
        <w:t>PAGE 5 • INITIAL-PLAN REVENUE HEATMAP</w:t>
      </w:r>
    </w:p>
    <w:p>
      <w:pPr>
        <w:keepNext/>
        <w:spacing w:after="30"/>
      </w:pPr>
      <w:r>
        <w:rPr>
          <w:rFonts w:ascii="Arial" w:hAnsi="Arial"/>
          <w:b/>
          <w:i w:val="0"/>
          <w:color w:val="102A43"/>
          <w:sz w:val="40"/>
        </w:rPr>
        <w:t>Business has the highest cumulative revenue per revenue company—but limited scale</w:t>
      </w:r>
    </w:p>
    <w:p>
      <w:pPr>
        <w:spacing w:after="120"/>
      </w:pPr>
      <w:r>
        <w:rPr>
          <w:rFonts w:ascii="Arial" w:hAnsi="Arial"/>
          <w:b w:val="0"/>
          <w:i w:val="0"/>
          <w:color w:val="5E6C76"/>
          <w:sz w:val="17"/>
        </w:rPr>
        <w:t>Simple raw-data view • Initial plan, not necessarily current plan • May excluded</w:t>
      </w:r>
    </w:p>
    <w:p>
      <w:pPr>
        <w:spacing w:before="40" w:after="80"/>
        <w:jc w:val="center"/>
      </w:pPr>
      <w:r>
        <w:drawing>
          <wp:inline xmlns:a="http://schemas.openxmlformats.org/drawingml/2006/main" xmlns:pic="http://schemas.openxmlformats.org/drawingml/2006/picture">
            <wp:extent cx="6083999" cy="2588762"/>
            <wp:docPr id="4" name="Picture 4"/>
            <wp:cNvGraphicFramePr>
              <a:graphicFrameLocks noChangeAspect="1"/>
            </wp:cNvGraphicFramePr>
            <a:graphic>
              <a:graphicData uri="http://schemas.openxmlformats.org/drawingml/2006/picture">
                <pic:pic>
                  <pic:nvPicPr>
                    <pic:cNvPr id="0" name="simple_raw_plan_revenue_per_company_heatmap.png"/>
                    <pic:cNvPicPr/>
                  </pic:nvPicPr>
                  <pic:blipFill>
                    <a:blip r:embed="rId13"/>
                    <a:stretch>
                      <a:fillRect/>
                    </a:stretch>
                  </pic:blipFill>
                  <pic:spPr>
                    <a:xfrm>
                      <a:off x="0" y="0"/>
                      <a:ext cx="6083999" cy="2588762"/>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90" w:type="dxa"/>
              <w:start w:w="105" w:type="dxa"/>
              <w:bottom w:w="90" w:type="dxa"/>
              <w:end w:w="105" w:type="dxa"/>
            </w:tcMar>
            <w:shd w:fill="EAF4F4"/>
          </w:tcPr>
          <w:p>
            <w:pPr>
              <w:spacing w:after="40" w:line="240" w:lineRule="auto"/>
            </w:pPr>
            <w:r>
              <w:rPr>
                <w:rFonts w:ascii="Arial" w:hAnsi="Arial"/>
                <w:b/>
                <w:i w:val="0"/>
                <w:color w:val="008C8C"/>
                <w:sz w:val="17"/>
              </w:rPr>
              <w:t>How to read it</w:t>
            </w:r>
          </w:p>
          <w:p>
            <w:pPr>
              <w:spacing w:after="40" w:line="240" w:lineRule="auto"/>
            </w:pPr>
            <w:r>
              <w:rPr>
                <w:rFonts w:ascii="Arial" w:hAnsi="Arial"/>
                <w:b w:val="0"/>
                <w:i w:val="0"/>
                <w:color w:val="17212B"/>
                <w:sz w:val="15"/>
              </w:rPr>
              <w:t>Each coloured cell is cumulative component revenue divided by distinct revenue companies in that initial plan. The neutral Total column sums the four components and sets the descending row order.</w:t>
            </w:r>
          </w:p>
          <w:p>
            <w:pPr>
              <w:spacing w:after="0" w:line="240" w:lineRule="auto"/>
            </w:pPr>
            <w:r>
              <w:rPr>
                <w:rFonts w:ascii="Arial" w:hAnsi="Arial"/>
                <w:b w:val="0"/>
                <w:i w:val="0"/>
                <w:color w:val="17212B"/>
                <w:sz w:val="15"/>
              </w:rPr>
              <w:t>Total is excluded from the colour scale. Company count (n) provides the scale check: a high per-company value in a small group is not automatically the largest opportunity.</w:t>
            </w:r>
          </w:p>
        </w:tc>
        <w:tc>
          <w:tcPr>
            <w:tcW w:type="dxa" w:w="5244"/>
            <w:tcMar>
              <w:top w:w="90" w:type="dxa"/>
              <w:start w:w="105" w:type="dxa"/>
              <w:bottom w:w="90" w:type="dxa"/>
              <w:end w:w="105" w:type="dxa"/>
            </w:tcMar>
            <w:shd w:fill="F3F5F7"/>
          </w:tcPr>
          <w:p>
            <w:pPr>
              <w:spacing w:after="40" w:line="240" w:lineRule="auto"/>
            </w:pPr>
            <w:r>
              <w:rPr>
                <w:rFonts w:ascii="Arial" w:hAnsi="Arial"/>
                <w:b/>
                <w:i w:val="0"/>
                <w:color w:val="C95C3D"/>
                <w:sz w:val="17"/>
              </w:rPr>
              <w:t>Limitations</w:t>
            </w:r>
          </w:p>
          <w:p>
            <w:pPr>
              <w:spacing w:after="40" w:line="240" w:lineRule="auto"/>
            </w:pPr>
            <w:r>
              <w:rPr>
                <w:rFonts w:ascii="Arial" w:hAnsi="Arial"/>
                <w:b w:val="0"/>
                <w:i w:val="0"/>
                <w:color w:val="17212B"/>
                <w:sz w:val="15"/>
              </w:rPr>
              <w:t>The field records the initial subscription group and may not represent the current plan. Differences may reflect company age, selection, size, or behaviour—not a causal effect of the plan.</w:t>
            </w:r>
          </w:p>
          <w:p>
            <w:pPr>
              <w:spacing w:after="0" w:line="240" w:lineRule="auto"/>
            </w:pPr>
            <w:r>
              <w:rPr>
                <w:rFonts w:ascii="Arial" w:hAnsi="Arial"/>
                <w:b w:val="0"/>
                <w:i w:val="0"/>
                <w:color w:val="17212B"/>
                <w:sz w:val="15"/>
              </w:rPr>
              <w:t>Values are cumulative, so older companies have more exposure. The inner join also excludes companies with no revenue row. This cannot justify an upsell without current-plan, migration, margin, and experiment data.</w:t>
            </w:r>
          </w:p>
        </w:tc>
      </w:tr>
    </w:tbl>
    <w:p>
      <w:pPr>
        <w:spacing w:before="80" w:after="0"/>
      </w:pPr>
      <w:r>
        <w:rPr>
          <w:rFonts w:ascii="Arial" w:hAnsi="Arial"/>
          <w:b/>
          <w:i w:val="0"/>
          <w:color w:val="008C8C"/>
          <w:sz w:val="15"/>
        </w:rPr>
        <w:t xml:space="preserve">Reproducible SQL: </w:t>
      </w:r>
      <w:r>
        <w:rPr>
          <w:rFonts w:ascii="Arial" w:hAnsi="Arial"/>
          <w:b w:val="0"/>
          <w:i w:val="0"/>
          <w:color w:val="17212B"/>
          <w:sz w:val="15"/>
        </w:rPr>
        <w:t>Query 10 in sql/simple_raw_memo_queries.sql</w:t>
      </w:r>
    </w:p>
    <w:p>
      <w:r>
        <w:br w:type="page"/>
      </w:r>
    </w:p>
    <w:p>
      <w:pPr>
        <w:spacing w:after="20"/>
      </w:pPr>
      <w:r>
        <w:rPr>
          <w:rFonts w:ascii="Arial" w:hAnsi="Arial"/>
          <w:b/>
          <w:i w:val="0"/>
          <w:color w:val="008C8C"/>
          <w:sz w:val="16"/>
        </w:rPr>
        <w:t>PAGE 6 • REVENUE-BASED ACCOUNT HEALTH</w:t>
      </w:r>
    </w:p>
    <w:p>
      <w:pPr>
        <w:keepNext/>
        <w:spacing w:after="30"/>
      </w:pPr>
      <w:r>
        <w:rPr>
          <w:rFonts w:ascii="Arial" w:hAnsi="Arial"/>
          <w:b/>
          <w:i w:val="0"/>
          <w:color w:val="102A43"/>
          <w:sz w:val="40"/>
        </w:rPr>
        <w:t>Separate inactivity from deterioration while an account is still producing revenue</w:t>
      </w:r>
    </w:p>
    <w:p>
      <w:pPr>
        <w:spacing w:after="120"/>
      </w:pPr>
      <w:r>
        <w:rPr>
          <w:rFonts w:ascii="Arial" w:hAnsi="Arial"/>
          <w:b w:val="0"/>
          <w:i w:val="0"/>
          <w:color w:val="5E6C76"/>
          <w:sz w:val="17"/>
        </w:rPr>
        <w:t>Advanced method • All confirmed months, October–April • May excluded</w:t>
      </w:r>
    </w:p>
    <w:tbl>
      <w:tblPr>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22"/>
        <w:gridCol w:w="2622"/>
        <w:gridCol w:w="2622"/>
        <w:gridCol w:w="2622"/>
      </w:tblGrid>
      <w:tr>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68.2%</w:t>
            </w:r>
          </w:p>
          <w:p>
            <w:pPr>
              <w:spacing w:after="0"/>
              <w:jc w:val="center"/>
            </w:pPr>
            <w:r>
              <w:rPr>
                <w:rFonts w:ascii="Arial" w:hAnsi="Arial"/>
                <w:b w:val="0"/>
                <w:i w:val="0"/>
                <w:color w:val="5E6C76"/>
                <w:sz w:val="15"/>
              </w:rPr>
              <w:t>Healthy / stable in April</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17.2%</w:t>
            </w:r>
          </w:p>
          <w:p>
            <w:pPr>
              <w:spacing w:after="0"/>
              <w:jc w:val="center"/>
            </w:pPr>
            <w:r>
              <w:rPr>
                <w:rFonts w:ascii="Arial" w:hAnsi="Arial"/>
                <w:b w:val="0"/>
                <w:i w:val="0"/>
                <w:color w:val="5E6C76"/>
                <w:sz w:val="15"/>
              </w:rPr>
              <w:t>Declining in April</w:t>
            </w:r>
          </w:p>
        </w:tc>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12.9%</w:t>
            </w:r>
          </w:p>
          <w:p>
            <w:pPr>
              <w:spacing w:after="0"/>
              <w:jc w:val="center"/>
            </w:pPr>
            <w:r>
              <w:rPr>
                <w:rFonts w:ascii="Arial" w:hAnsi="Arial"/>
                <w:b w:val="0"/>
                <w:i w:val="0"/>
                <w:color w:val="5E6C76"/>
                <w:sz w:val="15"/>
              </w:rPr>
              <w:t>At-risk + churn proxy</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6,337</w:t>
            </w:r>
          </w:p>
          <w:p>
            <w:pPr>
              <w:spacing w:after="0"/>
              <w:jc w:val="center"/>
            </w:pPr>
            <w:r>
              <w:rPr>
                <w:rFonts w:ascii="Arial" w:hAnsi="Arial"/>
                <w:b w:val="0"/>
                <w:i w:val="0"/>
                <w:color w:val="5E6C76"/>
                <w:sz w:val="15"/>
              </w:rPr>
              <w:t>comparable mature companies</w:t>
            </w:r>
          </w:p>
        </w:tc>
      </w:tr>
    </w:tbl>
    <w:p>
      <w:pPr>
        <w:spacing w:before="60" w:after="20"/>
      </w:pPr>
      <w:r>
        <w:rPr>
          <w:rFonts w:ascii="Arial" w:hAnsi="Arial"/>
          <w:b/>
          <w:i w:val="0"/>
          <w:color w:val="008C8C"/>
          <w:sz w:val="16"/>
        </w:rPr>
        <w:t xml:space="preserve">How to read it. </w:t>
      </w:r>
      <w:r>
        <w:rPr>
          <w:rFonts w:ascii="Arial" w:hAnsi="Arial"/>
          <w:b w:val="0"/>
          <w:i w:val="0"/>
          <w:color w:val="17212B"/>
          <w:sz w:val="16"/>
        </w:rPr>
        <w:t>At each month-end, the model first asks whether an activated company produced revenue. Active accounts are then separated by momentum and continuity; inactive accounts are separated by the length of the revenue gap. These are behavioural signals, not contractual customer statuses.</w:t>
      </w:r>
    </w:p>
    <w:p>
      <w:pPr>
        <w:spacing w:before="60" w:after="40"/>
        <w:jc w:val="center"/>
      </w:pPr>
      <w:r>
        <w:drawing>
          <wp:inline xmlns:a="http://schemas.openxmlformats.org/drawingml/2006/main" xmlns:pic="http://schemas.openxmlformats.org/drawingml/2006/picture">
            <wp:extent cx="6300000" cy="4658149"/>
            <wp:docPr id="5" name="Picture 5"/>
            <wp:cNvGraphicFramePr>
              <a:graphicFrameLocks noChangeAspect="1"/>
            </wp:cNvGraphicFramePr>
            <a:graphic>
              <a:graphicData uri="http://schemas.openxmlformats.org/drawingml/2006/picture">
                <pic:pic>
                  <pic:nvPicPr>
                    <pic:cNvPr id="0" name="raw_two_table_health_full_period.png"/>
                    <pic:cNvPicPr/>
                  </pic:nvPicPr>
                  <pic:blipFill>
                    <a:blip r:embed="rId14"/>
                    <a:stretch>
                      <a:fillRect/>
                    </a:stretch>
                  </pic:blipFill>
                  <pic:spPr>
                    <a:xfrm>
                      <a:off x="0" y="0"/>
                      <a:ext cx="6300000" cy="4658149"/>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78" w:type="dxa"/>
              <w:start w:w="100" w:type="dxa"/>
              <w:bottom w:w="78" w:type="dxa"/>
              <w:end w:w="100" w:type="dxa"/>
            </w:tcMar>
            <w:shd w:fill="EAF4F4"/>
          </w:tcPr>
          <w:p>
            <w:pPr>
              <w:spacing w:after="40" w:line="240" w:lineRule="auto"/>
            </w:pPr>
            <w:r>
              <w:rPr>
                <w:rFonts w:ascii="Arial" w:hAnsi="Arial"/>
                <w:b/>
                <w:i w:val="0"/>
                <w:color w:val="008C8C"/>
                <w:sz w:val="16"/>
              </w:rPr>
              <w:t>Definitions</w:t>
            </w:r>
          </w:p>
          <w:p>
            <w:pPr>
              <w:spacing w:after="40" w:line="240" w:lineRule="auto"/>
            </w:pPr>
            <w:r>
              <w:rPr>
                <w:rFonts w:ascii="Arial" w:hAnsi="Arial"/>
                <w:b w:val="0"/>
                <w:i w:val="0"/>
                <w:color w:val="17212B"/>
                <w:sz w:val="14"/>
              </w:rPr>
              <w:t>Healthy/stable: active, sufficiently observed, no prior post-revenue gap, and less than 30% below baseline. Declining—low exposure: down 30%+ but less than €10. Material Watch: down 30%+ and €10+.</w:t>
            </w:r>
          </w:p>
          <w:p>
            <w:pPr>
              <w:spacing w:after="0" w:line="240" w:lineRule="auto"/>
            </w:pPr>
            <w:r>
              <w:rPr>
                <w:rFonts w:ascii="Arial" w:hAnsi="Arial"/>
                <w:b w:val="0"/>
                <w:i w:val="0"/>
                <w:color w:val="17212B"/>
                <w:sz w:val="14"/>
              </w:rPr>
              <w:t>Building history: active but not yet assessable for momentum. Recovered: active after a post-revenue gap. At-risk: absent for 1–2 months. Churned proxy: absent for 3+ months. Never monetized: no revenue to date.</w:t>
            </w:r>
          </w:p>
        </w:tc>
        <w:tc>
          <w:tcPr>
            <w:tcW w:type="dxa" w:w="5244"/>
            <w:tcMar>
              <w:top w:w="78" w:type="dxa"/>
              <w:start w:w="100" w:type="dxa"/>
              <w:bottom w:w="78" w:type="dxa"/>
              <w:end w:w="100" w:type="dxa"/>
            </w:tcMar>
            <w:shd w:fill="F3F5F7"/>
          </w:tcPr>
          <w:p>
            <w:pPr>
              <w:spacing w:after="40" w:line="240" w:lineRule="auto"/>
            </w:pPr>
            <w:r>
              <w:rPr>
                <w:rFonts w:ascii="Arial" w:hAnsi="Arial"/>
                <w:b/>
                <w:i w:val="0"/>
                <w:color w:val="C95C3D"/>
                <w:sz w:val="16"/>
              </w:rPr>
              <w:t>Interpretation limits</w:t>
            </w:r>
          </w:p>
          <w:p>
            <w:pPr>
              <w:spacing w:after="40" w:line="240" w:lineRule="auto"/>
            </w:pPr>
            <w:r>
              <w:rPr>
                <w:rFonts w:ascii="Arial" w:hAnsi="Arial"/>
                <w:b w:val="0"/>
                <w:i w:val="0"/>
                <w:color w:val="17212B"/>
                <w:sz w:val="14"/>
              </w:rPr>
              <w:t>This is revenue health—not product use, satisfaction, profitability, account status, or confirmed cancellation. A missing row is assumed to mean no observed revenue and must be validated.</w:t>
            </w:r>
          </w:p>
          <w:p>
            <w:pPr>
              <w:spacing w:after="0" w:line="240" w:lineRule="auto"/>
            </w:pPr>
            <w:r>
              <w:rPr>
                <w:rFonts w:ascii="Arial" w:hAnsi="Arial"/>
                <w:b w:val="0"/>
                <w:i w:val="0"/>
                <w:color w:val="17212B"/>
                <w:sz w:val="14"/>
              </w:rPr>
              <w:t>All confirmed months are shown. Early snapshots naturally contain more Building-history accounts; momentum states only appear after enough complete history exists. The trend fixes the October cohort, while April segment cuts use mature companies. Initial plan may not be current.</w:t>
            </w:r>
          </w:p>
        </w:tc>
      </w:tr>
    </w:tbl>
    <w:p>
      <w:pPr>
        <w:spacing w:before="60" w:after="0"/>
      </w:pPr>
      <w:r>
        <w:rPr>
          <w:rFonts w:ascii="Arial" w:hAnsi="Arial"/>
          <w:b/>
          <w:i w:val="0"/>
          <w:color w:val="008C8C"/>
          <w:sz w:val="15"/>
        </w:rPr>
        <w:t xml:space="preserve">Self-contained SQL: </w:t>
      </w:r>
      <w:r>
        <w:rPr>
          <w:rFonts w:ascii="Arial" w:hAnsi="Arial"/>
          <w:b w:val="0"/>
          <w:i w:val="0"/>
          <w:color w:val="17212B"/>
          <w:sz w:val="15"/>
        </w:rPr>
        <w:t>sql/raw_two_table_health_analysis.sql — reads only companies and revenue_with_total</w:t>
      </w:r>
    </w:p>
    <w:p>
      <w:r>
        <w:br w:type="page"/>
      </w:r>
    </w:p>
    <w:p>
      <w:pPr>
        <w:spacing w:after="20"/>
      </w:pPr>
      <w:r>
        <w:rPr>
          <w:rFonts w:ascii="Arial" w:hAnsi="Arial"/>
          <w:b/>
          <w:i w:val="0"/>
          <w:color w:val="008C8C"/>
          <w:sz w:val="16"/>
        </w:rPr>
        <w:t>PAGE 7 • FAIR 90-DAY FUNNEL</w:t>
      </w:r>
    </w:p>
    <w:p>
      <w:pPr>
        <w:keepNext/>
        <w:spacing w:after="30"/>
      </w:pPr>
      <w:r>
        <w:rPr>
          <w:rFonts w:ascii="Arial" w:hAnsi="Arial"/>
          <w:b/>
          <w:i w:val="0"/>
          <w:color w:val="102A43"/>
          <w:sz w:val="40"/>
        </w:rPr>
        <w:t>The largest quantifiable growth lever is post-KYB activation across the business</w:t>
      </w:r>
    </w:p>
    <w:p>
      <w:pPr>
        <w:spacing w:after="120"/>
      </w:pPr>
      <w:r>
        <w:rPr>
          <w:rFonts w:ascii="Arial" w:hAnsi="Arial"/>
          <w:b w:val="0"/>
          <w:i w:val="0"/>
          <w:color w:val="5E6C76"/>
          <w:sz w:val="17"/>
        </w:rPr>
        <w:t>Simple method • Companies table only • May excluded</w:t>
      </w:r>
    </w:p>
    <w:p>
      <w:pPr>
        <w:spacing w:before="40" w:after="40"/>
      </w:pPr>
      <w:r>
        <w:rPr>
          <w:rFonts w:ascii="Arial" w:hAnsi="Arial"/>
          <w:b/>
          <w:i w:val="0"/>
          <w:color w:val="008C8C"/>
          <w:sz w:val="16"/>
        </w:rPr>
        <w:t xml:space="preserve">Method: </w:t>
      </w:r>
      <w:r>
        <w:rPr>
          <w:rFonts w:ascii="Arial" w:hAnsi="Arial"/>
          <w:b w:val="0"/>
          <w:i w:val="0"/>
          <w:color w:val="17212B"/>
          <w:sz w:val="16"/>
        </w:rPr>
        <w:t>include signups from 1 October 2025 through 30 January 2026, so every company has a complete 90-day observation window through April. Colours are relative within each segment column—not targets—and N&lt;100 should be treated cautiously.</w:t>
      </w:r>
    </w:p>
    <w:p>
      <w:pPr>
        <w:spacing w:before="20" w:after="40"/>
        <w:jc w:val="center"/>
      </w:pPr>
      <w:r>
        <w:drawing>
          <wp:inline xmlns:a="http://schemas.openxmlformats.org/drawingml/2006/main" xmlns:pic="http://schemas.openxmlformats.org/drawingml/2006/picture">
            <wp:extent cx="5688000" cy="5151675"/>
            <wp:docPr id="6" name="Picture 6"/>
            <wp:cNvGraphicFramePr>
              <a:graphicFrameLocks noChangeAspect="1"/>
            </wp:cNvGraphicFramePr>
            <a:graphic>
              <a:graphicData uri="http://schemas.openxmlformats.org/drawingml/2006/picture">
                <pic:pic>
                  <pic:nvPicPr>
                    <pic:cNvPr id="0" name="simple_raw_funnel_90d_heatmap.jpg"/>
                    <pic:cNvPicPr/>
                  </pic:nvPicPr>
                  <pic:blipFill>
                    <a:blip r:embed="rId15"/>
                    <a:stretch>
                      <a:fillRect/>
                    </a:stretch>
                  </pic:blipFill>
                  <pic:spPr>
                    <a:xfrm>
                      <a:off x="0" y="0"/>
                      <a:ext cx="5688000" cy="5151675"/>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80" w:type="dxa"/>
              <w:start w:w="105" w:type="dxa"/>
              <w:bottom w:w="80" w:type="dxa"/>
              <w:end w:w="105" w:type="dxa"/>
            </w:tcMar>
            <w:shd w:fill="EAF4F4"/>
          </w:tcPr>
          <w:p>
            <w:pPr>
              <w:spacing w:after="40" w:line="240" w:lineRule="auto"/>
            </w:pPr>
            <w:r>
              <w:rPr>
                <w:rFonts w:ascii="Arial" w:hAnsi="Arial"/>
                <w:b/>
                <w:i w:val="0"/>
                <w:color w:val="008C8C"/>
                <w:sz w:val="17"/>
              </w:rPr>
              <w:t>What the data shows</w:t>
            </w:r>
          </w:p>
          <w:p>
            <w:pPr>
              <w:spacing w:after="0" w:line="240" w:lineRule="auto"/>
            </w:pPr>
            <w:r>
              <w:rPr>
                <w:rFonts w:ascii="Arial" w:hAnsi="Arial"/>
                <w:b w:val="0"/>
                <w:i w:val="0"/>
                <w:color w:val="17212B"/>
                <w:sz w:val="14"/>
              </w:rPr>
              <w:t>Overall, 66.5% validate, 76.1% of validated companies activate within the same 90-day signup window, and 50.6% activate overall (N=22,033). Initial-plan order is stable: Start 54.7%, Plus 49.6%, Free 48.2%, and Business 32.7%.</w:t>
            </w:r>
          </w:p>
        </w:tc>
        <w:tc>
          <w:tcPr>
            <w:tcW w:type="dxa" w:w="5244"/>
            <w:tcMar>
              <w:top w:w="80" w:type="dxa"/>
              <w:start w:w="105" w:type="dxa"/>
              <w:bottom w:w="80" w:type="dxa"/>
              <w:end w:w="105" w:type="dxa"/>
            </w:tcMar>
            <w:shd w:fill="F3F5F7"/>
          </w:tcPr>
          <w:p>
            <w:pPr>
              <w:spacing w:after="40" w:line="240" w:lineRule="auto"/>
            </w:pPr>
            <w:r>
              <w:rPr>
                <w:rFonts w:ascii="Arial" w:hAnsi="Arial"/>
                <w:b/>
                <w:i w:val="0"/>
                <w:color w:val="102A43"/>
                <w:sz w:val="17"/>
              </w:rPr>
              <w:t>What Shine should do</w:t>
            </w:r>
          </w:p>
          <w:p>
            <w:pPr>
              <w:spacing w:after="0" w:line="240" w:lineRule="auto"/>
            </w:pPr>
            <w:r>
              <w:rPr>
                <w:rFonts w:ascii="Arial" w:hAnsi="Arial"/>
                <w:b w:val="0"/>
                <w:i w:val="0"/>
                <w:color w:val="17212B"/>
                <w:sz w:val="14"/>
              </w:rPr>
              <w:t>A/B test improved onboarding for validated, unclosed, unactivated companies versus business-as-usual. Use 90-day cumulative revenue per validated company as the primary outcome. A hypothetical +5 pp persistent lift equals about 172 extra activations and €6.8k monthly revenue per matured cohort; this is a scenario, not a forecast.</w:t>
            </w:r>
          </w:p>
        </w:tc>
      </w:tr>
    </w:tbl>
    <w:p>
      <w:pPr>
        <w:spacing w:before="60" w:after="0"/>
      </w:pPr>
      <w:r>
        <w:rPr>
          <w:rFonts w:ascii="Arial" w:hAnsi="Arial"/>
          <w:b/>
          <w:i w:val="0"/>
          <w:color w:val="008C8C"/>
          <w:sz w:val="15"/>
        </w:rPr>
        <w:t xml:space="preserve">Reproducible SQL: </w:t>
      </w:r>
      <w:r>
        <w:rPr>
          <w:rFonts w:ascii="Arial" w:hAnsi="Arial"/>
          <w:b w:val="0"/>
          <w:i w:val="0"/>
          <w:color w:val="17212B"/>
          <w:sz w:val="15"/>
        </w:rPr>
        <w:t>sql/funnel_90d_heatmap_queries.sql • coloured copy: outputs/presentation/Colored_90_Day_Funnel_Queries.html</w:t>
      </w:r>
    </w:p>
    <w:sectPr w:rsidR="00FC693F" w:rsidRPr="0006063C" w:rsidSect="00034616">
      <w:footerReference w:type="default" r:id="rId9"/>
      <w:pgSz w:w="11906" w:h="16838"/>
      <w:pgMar w:top="652"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i w:val="0"/>
        <w:color w:val="5E6C76"/>
        <w:sz w:val="14"/>
      </w:rPr>
      <w:t xml:space="preserve">SHINE CASE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5" w:lineRule="auto"/>
    </w:pPr>
    <w:rPr>
      <w:rFonts w:ascii="Arial" w:hAnsi="Arial"/>
      <w:color w:val="1721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7"/>
    </w:rPr>
  </w:style>
  <w:style w:type="paragraph" w:styleId="ListBullet2">
    <w:name w:val="List Bullet 2"/>
    <w:basedOn w:val="Normal"/>
    <w:uiPriority w:val="99"/>
    <w:unhideWhenUsed/>
    <w:rsid w:val="00326F90"/>
    <w:pPr>
      <w:numPr>
        <w:numId w:val="2"/>
      </w:numPr>
      <w:contextualSpacing/>
    </w:pPr>
    <w:rPr>
      <w:rFonts w:ascii="Arial" w:hAnsi="Arial"/>
      <w:sz w:val="17"/>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Shine — Simple raw-data revenue memo</dc:title>
  <dc:subject>Simple memo using base tables and straightforward SQL</dc:subject>
  <dc:creator>Candidate analysis</dc:creator>
  <cp:keywords/>
  <dc:description>generated by python-docx</dc:description>
  <cp:lastModifiedBy/>
  <cp:revision>1</cp:revision>
  <dcterms:created xsi:type="dcterms:W3CDTF">2013-12-23T23:15:00Z</dcterms:created>
  <dcterms:modified xsi:type="dcterms:W3CDTF">2013-12-23T23:15:00Z</dcterms:modified>
  <cp:category/>
</cp:coreProperties>
</file>