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1 • POSITION AND MAGNITUDE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BTP is the strongest demonstrated vertical—not unlimited market headroom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Confirmed analysis through April 2026 • May excluded because signup coverage is truncated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488"/>
            <w:shd w:fill="102A43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Across all 9,088 comparable companies, BTP contributes 26.74% of revenue and Plus generates 2.02× average revenue/company. External evidence supports BTP product fit, but sector and product constraints require a bounded causal test before scaling.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2622"/>
        <w:gridCol w:w="2622"/>
        <w:gridCol w:w="2622"/>
        <w:gridCol w:w="2622"/>
      </w:tblGrid>
      <w:tr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9,088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companies in comparable base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44.6%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Start</w:t>
            </w:r>
          </w:p>
        </w:tc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26.7%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all comparable revenue from BTP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70.2%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generated by top 20% — secondary</w:t>
            </w:r>
          </w:p>
        </w:tc>
      </w:tr>
    </w:tbl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72000" cy="196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opportunity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19616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10375"/>
      </w:tblGrid>
      <w:tr>
        <w:tc>
          <w:tcPr>
            <w:tcW w:type="dxa" w:w="10488"/>
            <w:tcMar>
              <w:top w:w="55" w:type="dxa"/>
              <w:start w:w="100" w:type="dxa"/>
              <w:bottom w:w="55" w:type="dxa"/>
              <w:end w:w="100" w:type="dxa"/>
            </w:tcMar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4"/>
              </w:rPr>
              <w:t>Why this window: revenue is supplied only by calendar month. For a company activated late in month 0, the table cannot separate pre- and post-activation days. We therefore exclude month 0 and compare months 1-3, the first three complete calendar months. An exact 90-day window would require daily revenue.</w:t>
            </w:r>
          </w:p>
        </w:tc>
      </w:tr>
    </w:tbl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What the data shows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EAF4F4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OPPORTUNITY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leads demonstrated persona scale and efficiency: 26.74% of revenue and 1.48× average revenue/company.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France has a large artisan BTP base; Shine already offers a dedicated BTP workflow.</w:t>
            </w:r>
          </w:p>
        </w:tc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F3F5F7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RISK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activity contracted in 2025; Shine cannot directly offer overdrafts and advanced BTP invoicing is only partly supported.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Business reaches 3.22× average revenue/company but contributes only 6.95% (N=196); it is not the lead bet.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How to read the ranking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length: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share of revenue across the complete 9,088-company base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color: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average revenue/company versus overall; teal means at least 1.2×</w:t>
            </w:r>
          </w:p>
        </w:tc>
      </w:tr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eligible companies with three complete post-activation months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No composite score: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leadership can see the scale-efficiency trade-off directly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008C8C"/>
          <w:sz w:val="18"/>
        </w:rPr>
        <w:t xml:space="preserve">Decision: </w:t>
      </w:r>
      <w:r>
        <w:rPr>
          <w:rFonts w:ascii="Arial" w:hAnsi="Arial"/>
          <w:b w:val="0"/>
          <w:i w:val="0"/>
          <w:color w:val="17212B"/>
          <w:sz w:val="18"/>
        </w:rPr>
        <w:t>prioritize a controlled BTP-fit activation test, with Plus as the strongest initial-plan signal. Scale only on incremental contribution; treat 70/20 as secondary concentration context.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2 • RANKED DECISIONS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Two initiatives, clearly weighted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Ranked by observable scale, value concentration, health, and actionability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008C8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BTP-fit activation &amp; monetization experiment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Test a vertical workflow with suitable tradespeople and small crews; do not assume broad BTP acquisition or plan upsell is the lever.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BTP contributes 26.74% of all comparable revenue (N=1,642; €178.85/company; 1.48× overall). In the mature BTP base, 71.07% are Healthy and 15.55% Watch.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Existing BTP targeting, sector contraction, financing needs, and product limits cap extrapolation. No CAC, margin, current-plan, or product-use data.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9A23B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Revenue-decline &amp; first-gap protection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Trigger diagnosis at a material revenue decline and support after the first missing month; monitor recoveries.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493 high-value accounts are Watch, with a €41.0k observed baseline-to-April gap. In the mature base, Business is only 46.15% Healthy and 43.36% inactive—but N=143.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The decline threshold is an analytical assumption, not causal loss. Product usage is missing, so diagnose the driver before outreach.</w:t>
            </w:r>
          </w:p>
        </w:tc>
      </w:tr>
    </w:tbl>
    <w:p>
      <w:pPr>
        <w:spacing w:after="0"/>
      </w:pPr>
    </w:p>
    <w:p>
      <w:pPr>
        <w:spacing w:before="20" w:after="20"/>
      </w:pPr>
      <w:r>
        <w:rPr>
          <w:rFonts w:ascii="Arial" w:hAnsi="Arial"/>
          <w:b/>
          <w:i w:val="0"/>
          <w:color w:val="008C8C"/>
          <w:sz w:val="14"/>
        </w:rPr>
        <w:t xml:space="preserve">External pressure test: </w:t>
      </w:r>
      <w:r>
        <w:rPr>
          <w:rFonts w:ascii="Arial" w:hAnsi="Arial"/>
          <w:b w:val="0"/>
          <w:i w:val="0"/>
          <w:color w:val="5E6C76"/>
          <w:sz w:val="14"/>
        </w:rPr>
        <w:t xml:space="preserve">large artisan base and a dedicated Shine offer support fit; BTP contraction, no direct overdraft, and advanced invoicing limits narrow the ideal customer. </w:t>
      </w:r>
      <w:hyperlink r:id="rId11">
        <w:r>
          <w:rPr>
            <w:color w:val="008C8C"/>
            <w:u w:val="single"/>
            <w:sz w:val="14"/>
          </w:rPr>
          <w:t>INSEE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2">
        <w:r>
          <w:rPr>
            <w:color w:val="008C8C"/>
            <w:u w:val="single"/>
            <w:sz w:val="14"/>
          </w:rPr>
          <w:t>Shine BTP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3">
        <w:r>
          <w:rPr>
            <w:color w:val="008C8C"/>
            <w:u w:val="single"/>
            <w:sz w:val="14"/>
          </w:rPr>
          <w:t>CAPEB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4">
        <w:r>
          <w:rPr>
            <w:color w:val="008C8C"/>
            <w:u w:val="single"/>
            <w:sz w:val="14"/>
          </w:rPr>
          <w:t>Product limits</w:t>
        </w:r>
      </w:hyperlink>
    </w:p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Health by segment: activated by Dec 2025 (N=6,337)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3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health_stack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3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</w:pPr>
      <w:r>
        <w:rPr>
          <w:rFonts w:ascii="Arial" w:hAnsi="Arial"/>
          <w:b/>
          <w:i w:val="0"/>
          <w:color w:val="102A43"/>
          <w:sz w:val="21"/>
        </w:rPr>
        <w:t>Alternatives considered—and rejected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2324"/>
        <w:gridCol w:w="5783"/>
      </w:tblGrid>
      <w:tr>
        <w:trPr>
          <w:tblHeader w:val="true"/>
        </w:trPr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Alternative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attractive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it loses now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Acquire more Business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High revenue/company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Small base; 73.3% funnel dropout; weak continuity; no CAC or KYB-reason data.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Broad funnel overhaul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62.9% 30-day dropout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Cannot distinguish rejection, delay, abandonment, or extraction effects; no channel cost.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Blanket churn campaign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Retention feels urgent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A decline is not churn; target the 493 Watch and 154 inactive accounts with distinct treatments.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Immediate plan upsell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Plus/Business correlate with value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Only initial plan exists; current plan and causal plan effect are unknown.</w:t>
            </w:r>
          </w:p>
        </w:tc>
      </w:tr>
    </w:tbl>
    <w:p>
      <w:pPr>
        <w:spacing w:before="40" w:after="0"/>
      </w:pPr>
      <w:r>
        <w:rPr>
          <w:rFonts w:ascii="Arial" w:hAnsi="Arial"/>
          <w:b/>
          <w:i w:val="0"/>
          <w:color w:val="C95C3D"/>
          <w:sz w:val="15"/>
        </w:rPr>
        <w:t xml:space="preserve">Magnitude limit: </w:t>
      </w:r>
      <w:r>
        <w:rPr>
          <w:rFonts w:ascii="Arial" w:hAnsi="Arial"/>
          <w:b w:val="0"/>
          <w:i w:val="0"/>
          <w:color w:val="5E6C76"/>
          <w:sz w:val="15"/>
        </w:rPr>
        <w:t>populations and observed revenue can be sized; uplift, margin, CAC and causal impact cannot.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3 • PROVE AND PRODUCTIONISE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Test the lever before scaling—and make the metrics trustworthy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Association identifies where to test; randomisation establishes whether the lever works</w:t>
      </w:r>
    </w:p>
    <w:p>
      <w:pPr>
        <w:keepNext/>
        <w:spacing w:before="0" w:after="60"/>
      </w:pPr>
      <w:r>
        <w:rPr>
          <w:rFonts w:ascii="Arial" w:hAnsi="Arial"/>
          <w:b/>
          <w:i w:val="0"/>
          <w:color w:val="102A43"/>
          <w:sz w:val="21"/>
        </w:rPr>
        <w:t>Lead experiment: BTP-fit workflow activation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8107"/>
      </w:tblGrid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Hypothesis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 BTP-specific workflow around e-invoicing, collection, expense control, cash-flow signals, or relevant partner services causes incremental recognised revenue without worsening guardrails.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Eligibility &amp; design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Use product need—not persona alone—to identify suitable tradespeople and small crews; freeze eligibility in a pre-period; randomise treatment vs business-as-usual; stratify by pre-revenue, cohort age, current plan and usage; analyse intention-to-treat.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Primary metric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Incremental mean total revenue per eligible company over 90 days. Report bootstrap confidence intervals plus median and winsorised sensitivities because revenue is highly skewed.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Success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Scale within BTP only if the pre-registered interval supports uplift above fully loaded treatment cost with no guardrail deterioration. Test transferability separately before expanding to other personas.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Guardrails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Closures, complaints, support contacts, fraud/AML/risk outcomes, fairness, operational failures, and negative-fee adjustments.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Validate first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3458"/>
        <w:gridCol w:w="3458"/>
        <w:gridCol w:w="3458"/>
      </w:tblGrid>
      <w:tr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1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Completeness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missing row = zero; reconcile to Finance; keep May out until signup coverage is explained.</w:t>
            </w:r>
          </w:p>
        </w:tc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2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Selection &amp; meaning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Validate BTP definition, acquisition channel/spend, CAC, approval, current plan, persona history and product use.</w:t>
            </w:r>
          </w:p>
        </w:tc>
        <w:tc>
          <w:tcPr>
            <w:tcW w:type="dxa" w:w="3496"/>
            <w:shd w:fill="FBEFEA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24"/>
              </w:rPr>
              <w:t>3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KYB &amp; privacy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permitted persona use; minimise data; suppress small cells; never use this for adverse eligibility decisions.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Trusted production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1446"/>
        <w:gridCol w:w="312"/>
        <w:gridCol w:w="2268"/>
        <w:gridCol w:w="312"/>
        <w:gridCol w:w="2041"/>
        <w:gridCol w:w="312"/>
        <w:gridCol w:w="2665"/>
      </w:tblGrid>
      <w:tr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Raw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snapshots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Typed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company-month fact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Versioned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metric marts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Governed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semantic layer</w:t>
            </w:r>
          </w:p>
        </w:tc>
      </w:tr>
    </w:tbl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Automated tests: unique company-month key; referential integrity; component-to-total and Finance reconciliation; freshness/completeness; date ordering; state-transition invariants; fixed cohort denominators; late-arriving-data/backfill controls.</w:t>
      </w:r>
    </w:p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Ownership: Finance—revenue; Product/Growth—lever and thresholds; Data—models/tests/lineage; Risk/Compliance/Privacy—KYB use; Operations/CRM—execution. Refresh after monthly close and version every definition change.</w:t>
      </w:r>
    </w:p>
    <w:p>
      <w:pPr>
        <w:spacing w:before="40" w:after="0"/>
      </w:pPr>
      <w:r>
        <w:rPr>
          <w:rFonts w:ascii="Arial" w:hAnsi="Arial"/>
          <w:b/>
          <w:i w:val="0"/>
          <w:color w:val="008C8C"/>
          <w:sz w:val="15"/>
        </w:rPr>
        <w:t xml:space="preserve">SQL appendix: </w:t>
      </w:r>
      <w:r>
        <w:rPr>
          <w:rFonts w:ascii="Arial" w:hAnsi="Arial"/>
          <w:b w:val="0"/>
          <w:i w:val="0"/>
          <w:color w:val="5E6C76"/>
          <w:sz w:val="15"/>
        </w:rPr>
        <w:t>sql/revenue_concentration_analysis.sql • sql/presentation_kpis.sql • sql/account_health_playground.sql</w:t>
      </w:r>
    </w:p>
    <w:p>
      <w:pPr>
        <w:spacing w:after="0"/>
      </w:pPr>
      <w:r>
        <w:rPr>
          <w:rFonts w:ascii="Arial" w:hAnsi="Arial"/>
          <w:b/>
          <w:i w:val="0"/>
          <w:color w:val="C95C3D"/>
          <w:sz w:val="15"/>
        </w:rPr>
        <w:t xml:space="preserve">Not concluded: </w:t>
      </w:r>
      <w:r>
        <w:rPr>
          <w:rFonts w:ascii="Arial" w:hAnsi="Arial"/>
          <w:b w:val="0"/>
          <w:i w:val="0"/>
          <w:color w:val="5E6C76"/>
          <w:sz w:val="15"/>
        </w:rPr>
        <w:t>true churn, forecast LTV, causal plan effect, CAC/payback, profitability, or complete May performance.</w:t>
      </w:r>
    </w:p>
    <w:p>
      <w:pPr>
        <w:spacing w:after="0"/>
      </w:pPr>
      <w:r>
        <w:rPr>
          <w:rFonts w:ascii="Arial" w:hAnsi="Arial"/>
          <w:b/>
          <w:i w:val="0"/>
          <w:color w:val="008C8C"/>
          <w:sz w:val="14"/>
        </w:rPr>
        <w:t xml:space="preserve">External sources: </w:t>
      </w:r>
      <w:hyperlink r:id="rId16">
        <w:r>
          <w:rPr>
            <w:color w:val="008C8C"/>
            <w:u w:val="single"/>
            <w:sz w:val="14"/>
          </w:rPr>
          <w:t>Shine pricing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7">
        <w:r>
          <w:rPr>
            <w:color w:val="008C8C"/>
            <w:u w:val="single"/>
            <w:sz w:val="14"/>
          </w:rPr>
          <w:t>Overdraft policy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hyperlink r:id="rId18">
        <w:r>
          <w:rPr>
            <w:color w:val="008C8C"/>
            <w:u w:val="single"/>
            <w:sz w:val="14"/>
          </w:rPr>
          <w:t>E-invoice reform</w:t>
        </w:r>
      </w:hyperlink>
      <w:r>
        <w:rPr>
          <w:rFonts w:ascii="Arial" w:hAnsi="Arial"/>
          <w:b w:val="0"/>
          <w:i w:val="0"/>
          <w:color w:val="5E6C76"/>
          <w:sz w:val="14"/>
        </w:rPr>
        <w:t xml:space="preserve"> • </w:t>
      </w:r>
      <w:r>
        <w:rPr>
          <w:rFonts w:ascii="Arial" w:hAnsi="Arial"/>
          <w:b w:val="0"/>
          <w:i w:val="0"/>
          <w:color w:val="5E6C76"/>
          <w:sz w:val="14"/>
        </w:rPr>
        <w:t>full research note: SHINE_MARKET_RESEARCH_AND_STRATEGY.md</w:t>
      </w:r>
    </w:p>
    <w:sectPr w:rsidR="00FC693F" w:rsidRPr="0006063C" w:rsidSect="00034616">
      <w:footerReference w:type="default" r:id="rId9"/>
      <w:pgSz w:w="11906" w:h="16838"/>
      <w:pgMar w:top="652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i w:val="0"/>
        <w:color w:val="5E6C76"/>
        <w:sz w:val="14"/>
      </w:rPr>
      <w:t xml:space="preserve">SHINE CASE  •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insee.fr/fr/statistiques/2011101?geo=FRANCE-1-1" TargetMode="External"/><Relationship Id="rId12" Type="http://schemas.openxmlformats.org/officeDocument/2006/relationships/hyperlink" Target="https://www.shine.fr/btp/" TargetMode="External"/><Relationship Id="rId13" Type="http://schemas.openxmlformats.org/officeDocument/2006/relationships/hyperlink" Target="https://www.capeb.fr/www/capeb/media/national/note-1-trimestre-2026-v3.pdf" TargetMode="External"/><Relationship Id="rId14" Type="http://schemas.openxmlformats.org/officeDocument/2006/relationships/hyperlink" Target="https://help.shine.fr/shine-facture/fr/articles/16596228-artisans-du-btp-facturer-l-avancement-de-vos-chantiers-situations-de-travaux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www.shine.fr/tarifs/" TargetMode="External"/><Relationship Id="rId17" Type="http://schemas.openxmlformats.org/officeDocument/2006/relationships/hyperlink" Target="https://help.shine.fr/fr/articles/1179200-compte-a-decouvert" TargetMode="External"/><Relationship Id="rId18" Type="http://schemas.openxmlformats.org/officeDocument/2006/relationships/hyperlink" Target="https://www.economie.gouv.fr/tout-savoir-sur-la-facturation-electronique-pour-les-entrepri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Shine — Revenue Risk &amp; Opportunity</dc:title>
  <dc:subject>Senior Data Analyst Case Study</dc:subject>
  <dc:creator>Candidate analysis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