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rFonts w:ascii="Arial" w:hAnsi="Arial"/>
          <w:b/>
          <w:i w:val="0"/>
          <w:color w:val="008C8C"/>
          <w:sz w:val="16"/>
        </w:rPr>
        <w:t>PAGE 1 • RAW-DATA BIG PICTURE</w:t>
      </w:r>
    </w:p>
    <w:p>
      <w:pPr>
        <w:keepNext/>
        <w:spacing w:after="30"/>
      </w:pPr>
      <w:r>
        <w:rPr>
          <w:rFonts w:ascii="Arial" w:hAnsi="Arial"/>
          <w:b/>
          <w:i w:val="0"/>
          <w:color w:val="102A43"/>
          <w:sz w:val="40"/>
        </w:rPr>
        <w:t>BTP leads the full confirmed revenue view; Start leads plan scale</w:t>
      </w:r>
    </w:p>
    <w:p>
      <w:pPr>
        <w:spacing w:after="120"/>
      </w:pPr>
      <w:r>
        <w:rPr>
          <w:rFonts w:ascii="Arial" w:hAnsi="Arial"/>
          <w:b w:val="0"/>
          <w:i w:val="0"/>
          <w:color w:val="5E6C76"/>
          <w:sz w:val="17"/>
        </w:rPr>
        <w:t>Base tables only • Cumulative through April 2026 • May excluded from headlines</w:t>
      </w:r>
    </w:p>
    <w:tbl>
      <w:tblPr>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622"/>
        <w:gridCol w:w="2622"/>
        <w:gridCol w:w="2622"/>
        <w:gridCol w:w="2622"/>
      </w:tblGrid>
      <w:tr>
        <w:tc>
          <w:tcPr>
            <w:tcW w:type="dxa" w:w="2622"/>
            <w:shd w:fill="F3F5F7"/>
            <w:tcMar>
              <w:top w:w="90" w:type="dxa"/>
              <w:start w:w="65" w:type="dxa"/>
              <w:bottom w:w="90" w:type="dxa"/>
              <w:end w:w="65" w:type="dxa"/>
            </w:tcMar>
            <w:vAlign w:val="center"/>
          </w:tcPr>
          <w:p>
            <w:pPr>
              <w:spacing w:after="0"/>
              <w:jc w:val="center"/>
            </w:pPr>
            <w:r>
              <w:rPr>
                <w:rFonts w:ascii="Arial" w:hAnsi="Arial"/>
                <w:b/>
                <w:i w:val="0"/>
                <w:color w:val="008C8C"/>
                <w:sz w:val="30"/>
              </w:rPr>
              <w:t>€2.35m</w:t>
            </w:r>
          </w:p>
          <w:p>
            <w:pPr>
              <w:spacing w:after="0"/>
              <w:jc w:val="center"/>
            </w:pPr>
            <w:r>
              <w:rPr>
                <w:rFonts w:ascii="Arial" w:hAnsi="Arial"/>
                <w:b w:val="0"/>
                <w:i w:val="0"/>
                <w:color w:val="5E6C76"/>
                <w:sz w:val="15"/>
              </w:rPr>
              <w:t>confirmed revenue through April</w:t>
            </w:r>
          </w:p>
        </w:tc>
        <w:tc>
          <w:tcPr>
            <w:tcW w:type="dxa" w:w="2622"/>
            <w:shd w:fill="EAF4F4"/>
            <w:tcMar>
              <w:top w:w="90" w:type="dxa"/>
              <w:start w:w="65" w:type="dxa"/>
              <w:bottom w:w="90" w:type="dxa"/>
              <w:end w:w="65" w:type="dxa"/>
            </w:tcMar>
            <w:vAlign w:val="center"/>
          </w:tcPr>
          <w:p>
            <w:pPr>
              <w:spacing w:after="0"/>
              <w:jc w:val="center"/>
            </w:pPr>
            <w:r>
              <w:rPr>
                <w:rFonts w:ascii="Arial" w:hAnsi="Arial"/>
                <w:b/>
                <w:i w:val="0"/>
                <w:color w:val="008C8C"/>
                <w:sz w:val="30"/>
              </w:rPr>
              <w:t>17,568</w:t>
            </w:r>
          </w:p>
          <w:p>
            <w:pPr>
              <w:spacing w:after="0"/>
              <w:jc w:val="center"/>
            </w:pPr>
            <w:r>
              <w:rPr>
                <w:rFonts w:ascii="Arial" w:hAnsi="Arial"/>
                <w:b w:val="0"/>
                <w:i w:val="0"/>
                <w:color w:val="5E6C76"/>
                <w:sz w:val="15"/>
              </w:rPr>
              <w:t>companies with confirmed revenue</w:t>
            </w:r>
          </w:p>
        </w:tc>
        <w:tc>
          <w:tcPr>
            <w:tcW w:type="dxa" w:w="2622"/>
            <w:shd w:fill="F3F5F7"/>
            <w:tcMar>
              <w:top w:w="90" w:type="dxa"/>
              <w:start w:w="65" w:type="dxa"/>
              <w:bottom w:w="90" w:type="dxa"/>
              <w:end w:w="65" w:type="dxa"/>
            </w:tcMar>
            <w:vAlign w:val="center"/>
          </w:tcPr>
          <w:p>
            <w:pPr>
              <w:spacing w:after="0"/>
              <w:jc w:val="center"/>
            </w:pPr>
            <w:r>
              <w:rPr>
                <w:rFonts w:ascii="Arial" w:hAnsi="Arial"/>
                <w:b/>
                <w:i w:val="0"/>
                <w:color w:val="008C8C"/>
                <w:sz w:val="30"/>
              </w:rPr>
              <w:t>25.4%</w:t>
            </w:r>
          </w:p>
          <w:p>
            <w:pPr>
              <w:spacing w:after="0"/>
              <w:jc w:val="center"/>
            </w:pPr>
            <w:r>
              <w:rPr>
                <w:rFonts w:ascii="Arial" w:hAnsi="Arial"/>
                <w:b w:val="0"/>
                <w:i w:val="0"/>
                <w:color w:val="5E6C76"/>
                <w:sz w:val="15"/>
              </w:rPr>
              <w:t>confirmed revenue from BTP</w:t>
            </w:r>
          </w:p>
        </w:tc>
        <w:tc>
          <w:tcPr>
            <w:tcW w:type="dxa" w:w="2622"/>
            <w:shd w:fill="EAF4F4"/>
            <w:tcMar>
              <w:top w:w="90" w:type="dxa"/>
              <w:start w:w="65" w:type="dxa"/>
              <w:bottom w:w="90" w:type="dxa"/>
              <w:end w:w="65" w:type="dxa"/>
            </w:tcMar>
            <w:vAlign w:val="center"/>
          </w:tcPr>
          <w:p>
            <w:pPr>
              <w:spacing w:after="0"/>
              <w:jc w:val="center"/>
            </w:pPr>
            <w:r>
              <w:rPr>
                <w:rFonts w:ascii="Arial" w:hAnsi="Arial"/>
                <w:b/>
                <w:i w:val="0"/>
                <w:color w:val="008C8C"/>
                <w:sz w:val="30"/>
              </w:rPr>
              <w:t>44.5%</w:t>
            </w:r>
          </w:p>
          <w:p>
            <w:pPr>
              <w:spacing w:after="0"/>
              <w:jc w:val="center"/>
            </w:pPr>
            <w:r>
              <w:rPr>
                <w:rFonts w:ascii="Arial" w:hAnsi="Arial"/>
                <w:b w:val="0"/>
                <w:i w:val="0"/>
                <w:color w:val="5E6C76"/>
                <w:sz w:val="15"/>
              </w:rPr>
              <w:t>confirmed revenue from Start</w:t>
            </w:r>
          </w:p>
        </w:tc>
      </w:tr>
    </w:tbl>
    <w:p>
      <w:pPr>
        <w:spacing w:before="80" w:after="20"/>
        <w:jc w:val="center"/>
      </w:pPr>
      <w:r>
        <w:drawing>
          <wp:inline xmlns:a="http://schemas.openxmlformats.org/drawingml/2006/main" xmlns:pic="http://schemas.openxmlformats.org/drawingml/2006/picture">
            <wp:extent cx="6480000" cy="2520465"/>
            <wp:docPr id="1" name="Picture 1"/>
            <wp:cNvGraphicFramePr>
              <a:graphicFrameLocks noChangeAspect="1"/>
            </wp:cNvGraphicFramePr>
            <a:graphic>
              <a:graphicData uri="http://schemas.openxmlformats.org/drawingml/2006/picture">
                <pic:pic>
                  <pic:nvPicPr>
                    <pic:cNvPr id="0" name="simple_raw_segment_view.png"/>
                    <pic:cNvPicPr/>
                  </pic:nvPicPr>
                  <pic:blipFill>
                    <a:blip r:embed="rId10"/>
                    <a:stretch>
                      <a:fillRect/>
                    </a:stretch>
                  </pic:blipFill>
                  <pic:spPr>
                    <a:xfrm>
                      <a:off x="0" y="0"/>
                      <a:ext cx="6480000" cy="2520465"/>
                    </a:xfrm>
                    <a:prstGeom prst="rect"/>
                  </pic:spPr>
                </pic:pic>
              </a:graphicData>
            </a:graphic>
          </wp:inline>
        </w:drawing>
      </w:r>
    </w:p>
    <w:p>
      <w:pPr>
        <w:keepNext/>
        <w:spacing w:before="40" w:after="60"/>
      </w:pPr>
      <w:r>
        <w:rPr>
          <w:rFonts w:ascii="Arial" w:hAnsi="Arial"/>
          <w:b/>
          <w:i w:val="0"/>
          <w:color w:val="102A43"/>
          <w:sz w:val="21"/>
        </w:rPr>
        <w:t>What I conclude</w:t>
      </w:r>
    </w:p>
    <w:tbl>
      <w:tblPr>
        <w:tblW w:type="auto" w:w="0"/>
        <w:tblLayout w:type="fixed"/>
        <w:tblLook w:firstColumn="1" w:firstRow="1" w:lastColumn="0" w:lastRow="0" w:noHBand="0" w:noVBand="1" w:val="04A0"/>
        <w:tblBorders>
          <w:top w:val="single" w:sz="7" w:color="FFFFFF"/>
          <w:left w:val="single" w:sz="7" w:color="FFFFFF"/>
          <w:bottom w:val="single" w:sz="7" w:color="FFFFFF"/>
          <w:right w:val="single" w:sz="7" w:color="FFFFFF"/>
          <w:insideH w:val="single" w:sz="7" w:color="FFFFFF"/>
          <w:insideV w:val="single" w:sz="7" w:color="FFFFFF"/>
        </w:tblBorders>
      </w:tblPr>
      <w:tblGrid>
        <w:gridCol w:w="3458"/>
        <w:gridCol w:w="3458"/>
        <w:gridCol w:w="3458"/>
      </w:tblGrid>
      <w:tr>
        <w:tc>
          <w:tcPr>
            <w:tcW w:type="dxa" w:w="3496"/>
            <w:shd w:fill="EAF4F4"/>
            <w:tcMar>
              <w:top w:w="95" w:type="dxa"/>
              <w:start w:w="110" w:type="dxa"/>
              <w:bottom w:w="95" w:type="dxa"/>
              <w:end w:w="110" w:type="dxa"/>
            </w:tcMar>
          </w:tcPr>
          <w:p>
            <w:pPr>
              <w:spacing w:after="40" w:line="240" w:lineRule="auto"/>
            </w:pPr>
            <w:r>
              <w:rPr>
                <w:rFonts w:ascii="Arial" w:hAnsi="Arial"/>
                <w:b/>
                <w:i w:val="0"/>
                <w:color w:val="008C8C"/>
                <w:sz w:val="17"/>
              </w:rPr>
              <w:t>BTP</w:t>
            </w:r>
          </w:p>
          <w:p>
            <w:pPr>
              <w:spacing w:after="0" w:line="240" w:lineRule="auto"/>
            </w:pPr>
            <w:r>
              <w:rPr>
                <w:rFonts w:ascii="Arial" w:hAnsi="Arial"/>
                <w:b w:val="0"/>
                <w:i w:val="0"/>
                <w:color w:val="17212B"/>
                <w:sz w:val="15"/>
              </w:rPr>
              <w:t>Largest confirmed persona at 25.42%; April independently shows 24.06%, so the result is not driven by one view.</w:t>
            </w:r>
          </w:p>
        </w:tc>
        <w:tc>
          <w:tcPr>
            <w:tcW w:type="dxa" w:w="3496"/>
            <w:shd w:fill="F3F5F7"/>
            <w:tcMar>
              <w:top w:w="95" w:type="dxa"/>
              <w:start w:w="110" w:type="dxa"/>
              <w:bottom w:w="95" w:type="dxa"/>
              <w:end w:w="110" w:type="dxa"/>
            </w:tcMar>
          </w:tcPr>
          <w:p>
            <w:pPr>
              <w:spacing w:after="40" w:line="240" w:lineRule="auto"/>
            </w:pPr>
            <w:r>
              <w:rPr>
                <w:rFonts w:ascii="Arial" w:hAnsi="Arial"/>
                <w:b/>
                <w:i w:val="0"/>
                <w:color w:val="102A43"/>
                <w:sz w:val="17"/>
              </w:rPr>
              <w:t>Start vs Plus</w:t>
            </w:r>
          </w:p>
          <w:p>
            <w:pPr>
              <w:spacing w:after="0" w:line="240" w:lineRule="auto"/>
            </w:pPr>
            <w:r>
              <w:rPr>
                <w:rFonts w:ascii="Arial" w:hAnsi="Arial"/>
                <w:b w:val="0"/>
                <w:i w:val="0"/>
                <w:color w:val="17212B"/>
                <w:sz w:val="15"/>
              </w:rPr>
              <w:t>Start supplies 44.49% through scale; Plus supplies 26.98% at €279.26 cumulative revenue per revenue company.</w:t>
            </w:r>
          </w:p>
        </w:tc>
        <w:tc>
          <w:tcPr>
            <w:tcW w:type="dxa" w:w="3496"/>
            <w:shd w:fill="F3F5F7"/>
            <w:tcMar>
              <w:top w:w="95" w:type="dxa"/>
              <w:start w:w="110" w:type="dxa"/>
              <w:bottom w:w="95" w:type="dxa"/>
              <w:end w:w="110" w:type="dxa"/>
            </w:tcMar>
          </w:tcPr>
          <w:p>
            <w:pPr>
              <w:spacing w:after="40" w:line="240" w:lineRule="auto"/>
            </w:pPr>
            <w:r>
              <w:rPr>
                <w:rFonts w:ascii="Arial" w:hAnsi="Arial"/>
                <w:b/>
                <w:i w:val="0"/>
                <w:color w:val="E9A23B"/>
                <w:sz w:val="17"/>
              </w:rPr>
              <w:t>Current economics</w:t>
            </w:r>
          </w:p>
          <w:p>
            <w:pPr>
              <w:spacing w:after="0" w:line="240" w:lineRule="auto"/>
            </w:pPr>
            <w:r>
              <w:rPr>
                <w:rFonts w:ascii="Arial" w:hAnsi="Arial"/>
                <w:b w:val="0"/>
                <w:i w:val="0"/>
                <w:color w:val="17212B"/>
                <w:sz w:val="15"/>
              </w:rPr>
              <w:t>In April, interchange is 42.0% and deposit interest 28.7% of revenue; subscriptions alone are 21.0%.</w:t>
            </w:r>
          </w:p>
        </w:tc>
      </w:tr>
    </w:tbl>
    <w:tbl>
      <w:tblPr>
        <w:tblW w:type="auto" w:w="0"/>
        <w:tblLayout w:type="fixed"/>
        <w:tblLook w:firstColumn="1" w:firstRow="1" w:lastColumn="0" w:lastRow="0" w:noHBand="0" w:noVBand="1" w:val="04A0"/>
        <w:tblBorders>
          <w:top w:val="single" w:sz="3" w:color="D8DEE3"/>
          <w:left w:val="single" w:sz="3" w:color="D8DEE3"/>
          <w:bottom w:val="single" w:sz="3" w:color="D8DEE3"/>
          <w:right w:val="single" w:sz="3" w:color="D8DEE3"/>
          <w:insideH w:val="single" w:sz="3" w:color="D8DEE3"/>
          <w:insideV w:val="single" w:sz="3" w:color="D8DEE3"/>
        </w:tblBorders>
      </w:tblPr>
      <w:tblGrid>
        <w:gridCol w:w="10375"/>
      </w:tblGrid>
      <w:tr>
        <w:tc>
          <w:tcPr>
            <w:tcW w:type="dxa" w:w="10488"/>
            <w:shd w:fill="F3F5F7"/>
            <w:tcMar>
              <w:top w:w="75" w:type="dxa"/>
              <w:start w:w="115" w:type="dxa"/>
              <w:bottom w:w="75" w:type="dxa"/>
              <w:end w:w="115" w:type="dxa"/>
            </w:tcMar>
          </w:tcPr>
          <w:p>
            <w:pPr>
              <w:spacing w:after="40"/>
            </w:pPr>
            <w:r>
              <w:rPr>
                <w:rFonts w:ascii="Arial" w:hAnsi="Arial"/>
                <w:b/>
                <w:i w:val="0"/>
                <w:color w:val="008C8C"/>
                <w:sz w:val="15"/>
              </w:rPr>
              <w:t>Core query pattern</w:t>
            </w:r>
          </w:p>
          <w:p>
            <w:pPr>
              <w:spacing w:after="0"/>
            </w:pPr>
            <w:r>
              <w:rPr>
                <w:rFonts w:ascii="Arial" w:hAnsi="Arial"/>
                <w:b w:val="0"/>
                <w:i w:val="0"/>
                <w:color w:val="17212B"/>
                <w:sz w:val="13"/>
              </w:rPr>
              <w:t>SELECT c.persona, SUM(r.total_revenue),</w:t>
            </w:r>
          </w:p>
          <w:p>
            <w:pPr>
              <w:spacing w:after="0"/>
            </w:pPr>
            <w:r>
              <w:rPr>
                <w:rFonts w:ascii="Arial" w:hAnsi="Arial"/>
                <w:b w:val="0"/>
                <w:i w:val="0"/>
                <w:color w:val="17212B"/>
                <w:sz w:val="13"/>
              </w:rPr>
              <w:t xml:space="preserve">       100 * SUM(r.total_revenue) / SUM(SUM(r.total_revenue)) OVER ()</w:t>
            </w:r>
          </w:p>
          <w:p>
            <w:pPr>
              <w:spacing w:after="0"/>
            </w:pPr>
            <w:r>
              <w:rPr>
                <w:rFonts w:ascii="Arial" w:hAnsi="Arial"/>
                <w:b w:val="0"/>
                <w:i w:val="0"/>
                <w:color w:val="17212B"/>
                <w:sz w:val="13"/>
              </w:rPr>
              <w:t>FROM companies c JOIN revenue_with_total r USING (company_profile_id)</w:t>
            </w:r>
          </w:p>
          <w:p>
            <w:pPr>
              <w:spacing w:after="0"/>
            </w:pPr>
            <w:r>
              <w:rPr>
                <w:rFonts w:ascii="Arial" w:hAnsi="Arial"/>
                <w:b w:val="0"/>
                <w:i w:val="0"/>
                <w:color w:val="17212B"/>
                <w:sz w:val="13"/>
              </w:rPr>
              <w:t>WHERE r.revenue_month &lt;= DATE '2026-04-01' GROUP BY c.persona;</w:t>
            </w:r>
          </w:p>
        </w:tc>
      </w:tr>
    </w:tbl>
    <w:p>
      <w:r>
        <w:br w:type="page"/>
      </w:r>
    </w:p>
    <w:p>
      <w:pPr>
        <w:spacing w:after="20"/>
      </w:pPr>
      <w:r>
        <w:rPr>
          <w:rFonts w:ascii="Arial" w:hAnsi="Arial"/>
          <w:b/>
          <w:i w:val="0"/>
          <w:color w:val="008C8C"/>
          <w:sz w:val="16"/>
        </w:rPr>
        <w:t>PAGE 2 • RANKED ACTIONS</w:t>
      </w:r>
    </w:p>
    <w:p>
      <w:pPr>
        <w:keepNext/>
        <w:spacing w:after="30"/>
      </w:pPr>
      <w:r>
        <w:rPr>
          <w:rFonts w:ascii="Arial" w:hAnsi="Arial"/>
          <w:b/>
          <w:i w:val="0"/>
          <w:color w:val="102A43"/>
          <w:sz w:val="40"/>
        </w:rPr>
        <w:t>Use simple evidence to choose where to test—not to claim causality</w:t>
      </w:r>
    </w:p>
    <w:p>
      <w:pPr>
        <w:spacing w:after="120"/>
      </w:pPr>
      <w:r>
        <w:rPr>
          <w:rFonts w:ascii="Arial" w:hAnsi="Arial"/>
          <w:b w:val="0"/>
          <w:i w:val="0"/>
          <w:color w:val="5E6C76"/>
          <w:sz w:val="17"/>
        </w:rPr>
        <w:t>Two initiatives, clearly weighted</w:t>
      </w:r>
    </w:p>
    <w:tbl>
      <w:tblPr>
        <w:tblW w:type="auto" w:w="0"/>
        <w:tblLayout w:type="fixed"/>
        <w:tblLook w:firstColumn="1" w:firstRow="1" w:lastColumn="0" w:lastRow="0" w:noHBand="0" w:noVBand="1" w:val="04A0"/>
        <w:tblBorders>
          <w:top w:val="single" w:sz="7" w:color="FFFFFF"/>
          <w:left w:val="single" w:sz="7" w:color="FFFFFF"/>
          <w:bottom w:val="single" w:sz="7" w:color="FFFFFF"/>
          <w:right w:val="single" w:sz="7" w:color="FFFFFF"/>
          <w:insideH w:val="single" w:sz="7" w:color="FFFFFF"/>
          <w:insideV w:val="single" w:sz="7" w:color="FFFFFF"/>
        </w:tblBorders>
      </w:tblPr>
      <w:tblGrid>
        <w:gridCol w:w="624"/>
        <w:gridCol w:w="2324"/>
        <w:gridCol w:w="3969"/>
        <w:gridCol w:w="3458"/>
      </w:tblGrid>
      <w:tr>
        <w:tc>
          <w:tcPr>
            <w:tcW w:type="dxa" w:w="2622"/>
            <w:tcMar>
              <w:top w:w="95" w:type="dxa"/>
              <w:start w:w="105" w:type="dxa"/>
              <w:bottom w:w="95" w:type="dxa"/>
              <w:end w:w="105" w:type="dxa"/>
            </w:tcMar>
            <w:vAlign w:val="center"/>
            <w:shd w:fill="008C8C"/>
          </w:tcPr>
          <w:p>
            <w:pPr>
              <w:jc w:val="center"/>
            </w:pPr>
            <w:r>
              <w:rPr>
                <w:rFonts w:ascii="Arial" w:hAnsi="Arial"/>
                <w:b/>
                <w:i w:val="0"/>
                <w:color w:val="FFFFFF"/>
                <w:sz w:val="32"/>
              </w:rPr>
              <w:t>1</w:t>
            </w:r>
          </w:p>
        </w:tc>
        <w:tc>
          <w:tcPr>
            <w:tcW w:type="dxa" w:w="2622"/>
            <w:tcMar>
              <w:top w:w="95" w:type="dxa"/>
              <w:start w:w="105" w:type="dxa"/>
              <w:bottom w:w="95" w:type="dxa"/>
              <w:end w:w="105" w:type="dxa"/>
            </w:tcMar>
            <w:vAlign w:val="center"/>
            <w:shd w:fill="EAF4F4"/>
          </w:tcPr>
          <w:p>
            <w:pPr>
              <w:spacing w:after="40" w:line="240" w:lineRule="auto"/>
            </w:pPr>
            <w:r>
              <w:rPr>
                <w:rFonts w:ascii="Arial" w:hAnsi="Arial"/>
                <w:b/>
                <w:i w:val="0"/>
                <w:color w:val="102A43"/>
                <w:sz w:val="18"/>
              </w:rPr>
              <w:t>BTP-fit activation test</w:t>
            </w:r>
          </w:p>
          <w:p>
            <w:pPr>
              <w:spacing w:after="0" w:line="240" w:lineRule="auto"/>
            </w:pPr>
            <w:r>
              <w:rPr>
                <w:rFonts w:ascii="Arial" w:hAnsi="Arial"/>
                <w:b w:val="0"/>
                <w:i w:val="0"/>
                <w:color w:val="5E6C76"/>
                <w:sz w:val="15"/>
              </w:rPr>
              <w:t>Test one relevant workflow—such as invoicing, collection, expense control, or cash-flow alerts—against business-as-usual.</w:t>
            </w:r>
          </w:p>
        </w:tc>
        <w:tc>
          <w:tcPr>
            <w:tcW w:type="dxa" w:w="2622"/>
            <w:tcMar>
              <w:top w:w="95" w:type="dxa"/>
              <w:start w:w="105" w:type="dxa"/>
              <w:bottom w:w="95" w:type="dxa"/>
              <w:end w:w="105" w:type="dxa"/>
            </w:tcMar>
            <w:vAlign w:val="center"/>
          </w:tcPr>
          <w:p>
            <w:pPr>
              <w:spacing w:after="40" w:line="240" w:lineRule="auto"/>
            </w:pPr>
            <w:r>
              <w:rPr>
                <w:rFonts w:ascii="Arial" w:hAnsi="Arial"/>
                <w:b/>
                <w:i w:val="0"/>
                <w:color w:val="008C8C"/>
                <w:sz w:val="15"/>
              </w:rPr>
              <w:t>Raw evidence</w:t>
            </w:r>
          </w:p>
          <w:p>
            <w:pPr>
              <w:spacing w:after="0" w:line="240" w:lineRule="auto"/>
            </w:pPr>
            <w:r>
              <w:rPr>
                <w:rFonts w:ascii="Arial" w:hAnsi="Arial"/>
                <w:b w:val="0"/>
                <w:i w:val="0"/>
                <w:color w:val="17212B"/>
                <w:sz w:val="16"/>
              </w:rPr>
              <w:t>BTP is 24.06% of April revenue and 25.42% of cumulative confirmed revenue.</w:t>
            </w:r>
          </w:p>
        </w:tc>
        <w:tc>
          <w:tcPr>
            <w:tcW w:type="dxa" w:w="2622"/>
            <w:tcMar>
              <w:top w:w="95" w:type="dxa"/>
              <w:start w:w="105" w:type="dxa"/>
              <w:bottom w:w="95" w:type="dxa"/>
              <w:end w:w="105" w:type="dxa"/>
            </w:tcMar>
            <w:vAlign w:val="center"/>
          </w:tcPr>
          <w:p>
            <w:pPr>
              <w:spacing w:after="40" w:line="240" w:lineRule="auto"/>
            </w:pPr>
            <w:r>
              <w:rPr>
                <w:rFonts w:ascii="Arial" w:hAnsi="Arial"/>
                <w:b/>
                <w:i w:val="0"/>
                <w:color w:val="C95C3D"/>
                <w:sz w:val="15"/>
              </w:rPr>
              <w:t>Important limit</w:t>
            </w:r>
          </w:p>
          <w:p>
            <w:pPr>
              <w:spacing w:after="0" w:line="240" w:lineRule="auto"/>
            </w:pPr>
            <w:r>
              <w:rPr>
                <w:rFonts w:ascii="Arial" w:hAnsi="Arial"/>
                <w:b w:val="0"/>
                <w:i w:val="0"/>
                <w:color w:val="17212B"/>
                <w:sz w:val="15"/>
              </w:rPr>
              <w:t>Raw revenue cannot show product use, CAC, margin, current plan, or whether existing BTP marketing created the result.</w:t>
            </w:r>
          </w:p>
        </w:tc>
      </w:tr>
    </w:tbl>
    <w:p>
      <w:pPr>
        <w:spacing w:after="0"/>
      </w:pPr>
    </w:p>
    <w:tbl>
      <w:tblPr>
        <w:tblW w:type="auto" w:w="0"/>
        <w:tblLayout w:type="fixed"/>
        <w:tblLook w:firstColumn="1" w:firstRow="1" w:lastColumn="0" w:lastRow="0" w:noHBand="0" w:noVBand="1" w:val="04A0"/>
        <w:tblBorders>
          <w:top w:val="single" w:sz="7" w:color="FFFFFF"/>
          <w:left w:val="single" w:sz="7" w:color="FFFFFF"/>
          <w:bottom w:val="single" w:sz="7" w:color="FFFFFF"/>
          <w:right w:val="single" w:sz="7" w:color="FFFFFF"/>
          <w:insideH w:val="single" w:sz="7" w:color="FFFFFF"/>
          <w:insideV w:val="single" w:sz="7" w:color="FFFFFF"/>
        </w:tblBorders>
      </w:tblPr>
      <w:tblGrid>
        <w:gridCol w:w="624"/>
        <w:gridCol w:w="2324"/>
        <w:gridCol w:w="3969"/>
        <w:gridCol w:w="3458"/>
      </w:tblGrid>
      <w:tr>
        <w:tc>
          <w:tcPr>
            <w:tcW w:type="dxa" w:w="2622"/>
            <w:tcMar>
              <w:top w:w="95" w:type="dxa"/>
              <w:start w:w="105" w:type="dxa"/>
              <w:bottom w:w="95" w:type="dxa"/>
              <w:end w:w="105" w:type="dxa"/>
            </w:tcMar>
            <w:vAlign w:val="center"/>
            <w:shd w:fill="E9A23B"/>
          </w:tcPr>
          <w:p>
            <w:pPr>
              <w:jc w:val="center"/>
            </w:pPr>
            <w:r>
              <w:rPr>
                <w:rFonts w:ascii="Arial" w:hAnsi="Arial"/>
                <w:b/>
                <w:i w:val="0"/>
                <w:color w:val="FFFFFF"/>
                <w:sz w:val="32"/>
              </w:rPr>
              <w:t>2</w:t>
            </w:r>
          </w:p>
        </w:tc>
        <w:tc>
          <w:tcPr>
            <w:tcW w:type="dxa" w:w="2622"/>
            <w:tcMar>
              <w:top w:w="95" w:type="dxa"/>
              <w:start w:w="105" w:type="dxa"/>
              <w:bottom w:w="95" w:type="dxa"/>
              <w:end w:w="105" w:type="dxa"/>
            </w:tcMar>
            <w:vAlign w:val="center"/>
            <w:shd w:fill="F3F5F7"/>
          </w:tcPr>
          <w:p>
            <w:pPr>
              <w:spacing w:after="40" w:line="240" w:lineRule="auto"/>
            </w:pPr>
            <w:r>
              <w:rPr>
                <w:rFonts w:ascii="Arial" w:hAnsi="Arial"/>
                <w:b/>
                <w:i w:val="0"/>
                <w:color w:val="102A43"/>
                <w:sz w:val="18"/>
              </w:rPr>
              <w:t>Revenue-decline diagnosis</w:t>
            </w:r>
          </w:p>
          <w:p>
            <w:pPr>
              <w:spacing w:after="0" w:line="240" w:lineRule="auto"/>
            </w:pPr>
            <w:r>
              <w:rPr>
                <w:rFonts w:ascii="Arial" w:hAnsi="Arial"/>
                <w:b w:val="0"/>
                <w:i w:val="0"/>
                <w:color w:val="5E6C76"/>
                <w:sz w:val="15"/>
              </w:rPr>
              <w:t>Use the decline as a diagnostic trigger and investigate the first missing-revenue month; monitor recoveries separately.</w:t>
            </w:r>
          </w:p>
        </w:tc>
        <w:tc>
          <w:tcPr>
            <w:tcW w:type="dxa" w:w="2622"/>
            <w:tcMar>
              <w:top w:w="95" w:type="dxa"/>
              <w:start w:w="105" w:type="dxa"/>
              <w:bottom w:w="95" w:type="dxa"/>
              <w:end w:w="105" w:type="dxa"/>
            </w:tcMar>
            <w:vAlign w:val="center"/>
          </w:tcPr>
          <w:p>
            <w:pPr>
              <w:spacing w:after="40" w:line="240" w:lineRule="auto"/>
            </w:pPr>
            <w:r>
              <w:rPr>
                <w:rFonts w:ascii="Arial" w:hAnsi="Arial"/>
                <w:b/>
                <w:i w:val="0"/>
                <w:color w:val="008C8C"/>
                <w:sz w:val="15"/>
              </w:rPr>
              <w:t>Raw evidence</w:t>
            </w:r>
          </w:p>
          <w:p>
            <w:pPr>
              <w:spacing w:after="0" w:line="240" w:lineRule="auto"/>
            </w:pPr>
            <w:r>
              <w:rPr>
                <w:rFonts w:ascii="Arial" w:hAnsi="Arial"/>
                <w:b w:val="0"/>
                <w:i w:val="0"/>
                <w:color w:val="17212B"/>
                <w:sz w:val="16"/>
              </w:rPr>
              <w:t>1,543 of 13,189 March-April active companies (11.70%) fell ≥30% and €10; 424 had a first April gap.</w:t>
            </w:r>
          </w:p>
        </w:tc>
        <w:tc>
          <w:tcPr>
            <w:tcW w:type="dxa" w:w="2622"/>
            <w:tcMar>
              <w:top w:w="95" w:type="dxa"/>
              <w:start w:w="105" w:type="dxa"/>
              <w:bottom w:w="95" w:type="dxa"/>
              <w:end w:w="105" w:type="dxa"/>
            </w:tcMar>
            <w:vAlign w:val="center"/>
          </w:tcPr>
          <w:p>
            <w:pPr>
              <w:spacing w:after="40" w:line="240" w:lineRule="auto"/>
            </w:pPr>
            <w:r>
              <w:rPr>
                <w:rFonts w:ascii="Arial" w:hAnsi="Arial"/>
                <w:b/>
                <w:i w:val="0"/>
                <w:color w:val="C95C3D"/>
                <w:sz w:val="15"/>
              </w:rPr>
              <w:t>Important limit</w:t>
            </w:r>
          </w:p>
          <w:p>
            <w:pPr>
              <w:spacing w:after="0" w:line="240" w:lineRule="auto"/>
            </w:pPr>
            <w:r>
              <w:rPr>
                <w:rFonts w:ascii="Arial" w:hAnsi="Arial"/>
                <w:b w:val="0"/>
                <w:i w:val="0"/>
                <w:color w:val="17212B"/>
                <w:sz w:val="15"/>
              </w:rPr>
              <w:t>Two months are noisy. This is not churn, forecast loss, or proof that outreach will recover revenue.</w:t>
            </w:r>
          </w:p>
        </w:tc>
      </w:tr>
    </w:tbl>
    <w:p>
      <w:pPr>
        <w:spacing w:after="0"/>
      </w:pPr>
    </w:p>
    <w:p>
      <w:pPr>
        <w:spacing w:before="40" w:after="20"/>
        <w:jc w:val="center"/>
      </w:pPr>
      <w:r>
        <w:drawing>
          <wp:inline xmlns:a="http://schemas.openxmlformats.org/drawingml/2006/main" xmlns:pic="http://schemas.openxmlformats.org/drawingml/2006/picture">
            <wp:extent cx="6336000" cy="2287022"/>
            <wp:docPr id="2" name="Picture 2"/>
            <wp:cNvGraphicFramePr>
              <a:graphicFrameLocks noChangeAspect="1"/>
            </wp:cNvGraphicFramePr>
            <a:graphic>
              <a:graphicData uri="http://schemas.openxmlformats.org/drawingml/2006/picture">
                <pic:pic>
                  <pic:nvPicPr>
                    <pic:cNvPr id="0" name="simple_raw_trend_and_decline.png"/>
                    <pic:cNvPicPr/>
                  </pic:nvPicPr>
                  <pic:blipFill>
                    <a:blip r:embed="rId11"/>
                    <a:stretch>
                      <a:fillRect/>
                    </a:stretch>
                  </pic:blipFill>
                  <pic:spPr>
                    <a:xfrm>
                      <a:off x="0" y="0"/>
                      <a:ext cx="6336000" cy="2287022"/>
                    </a:xfrm>
                    <a:prstGeom prst="rect"/>
                  </pic:spPr>
                </pic:pic>
              </a:graphicData>
            </a:graphic>
          </wp:inline>
        </w:drawing>
      </w:r>
    </w:p>
    <w:p>
      <w:pPr>
        <w:keepNext/>
        <w:spacing w:before="60" w:after="60"/>
      </w:pPr>
      <w:r>
        <w:rPr>
          <w:rFonts w:ascii="Arial" w:hAnsi="Arial"/>
          <w:b/>
          <w:i w:val="0"/>
          <w:color w:val="102A43"/>
          <w:sz w:val="21"/>
        </w:rPr>
        <w:t>Alternatives considered</w:t>
      </w:r>
    </w:p>
    <w:tbl>
      <w:tblPr>
        <w:tblW w:type="auto" w:w="0"/>
        <w:tblLayout w:type="fixed"/>
        <w:tblLook w:firstColumn="1" w:firstRow="1" w:lastColumn="0" w:lastRow="0" w:noHBand="0" w:noVBand="1" w:val="04A0"/>
        <w:tblBorders>
          <w:top w:val="single" w:sz="3" w:color="D8DEE3"/>
          <w:left w:val="single" w:sz="3" w:color="D8DEE3"/>
          <w:bottom w:val="single" w:sz="3" w:color="D8DEE3"/>
          <w:right w:val="single" w:sz="3" w:color="D8DEE3"/>
          <w:insideH w:val="single" w:sz="3" w:color="D8DEE3"/>
          <w:insideV w:val="single" w:sz="3" w:color="D8DEE3"/>
        </w:tblBorders>
      </w:tblPr>
      <w:tblGrid>
        <w:gridCol w:w="2608"/>
        <w:gridCol w:w="7767"/>
      </w:tblGrid>
      <w:tr>
        <w:trPr>
          <w:tblHeader w:val="true"/>
        </w:trPr>
        <w:tc>
          <w:tcPr>
            <w:tcW w:type="dxa" w:w="5244"/>
            <w:shd w:fill="102A43"/>
            <w:tcMar>
              <w:top w:w="65" w:type="dxa"/>
              <w:start w:w="90" w:type="dxa"/>
              <w:bottom w:w="65" w:type="dxa"/>
              <w:end w:w="90" w:type="dxa"/>
            </w:tcMar>
          </w:tcPr>
          <w:p>
            <w:pPr>
              <w:spacing w:after="0" w:line="240" w:lineRule="auto"/>
            </w:pPr>
            <w:r>
              <w:rPr>
                <w:rFonts w:ascii="Arial" w:hAnsi="Arial"/>
                <w:b/>
                <w:i w:val="0"/>
                <w:color w:val="FFFFFF"/>
                <w:sz w:val="15"/>
              </w:rPr>
              <w:t>Alternative</w:t>
            </w:r>
          </w:p>
        </w:tc>
        <w:tc>
          <w:tcPr>
            <w:tcW w:type="dxa" w:w="5244"/>
            <w:shd w:fill="102A43"/>
            <w:tcMar>
              <w:top w:w="65" w:type="dxa"/>
              <w:start w:w="90" w:type="dxa"/>
              <w:bottom w:w="65" w:type="dxa"/>
              <w:end w:w="90" w:type="dxa"/>
            </w:tcMar>
          </w:tcPr>
          <w:p>
            <w:pPr>
              <w:spacing w:after="0" w:line="240" w:lineRule="auto"/>
            </w:pPr>
            <w:r>
              <w:rPr>
                <w:rFonts w:ascii="Arial" w:hAnsi="Arial"/>
                <w:b/>
                <w:i w:val="0"/>
                <w:color w:val="FFFFFF"/>
                <w:sz w:val="15"/>
              </w:rPr>
              <w:t>Why it is not the lead</w:t>
            </w:r>
          </w:p>
        </w:tc>
      </w:tr>
      <w:tr>
        <w:trPr>
          <w:cantSplit/>
        </w:trPr>
        <w:tc>
          <w:tcPr>
            <w:tcW w:type="dxa" w:w="2608"/>
            <w:shd w:fill="FFFFFF"/>
            <w:tcMar>
              <w:top w:w="52" w:type="dxa"/>
              <w:start w:w="85" w:type="dxa"/>
              <w:bottom w:w="52" w:type="dxa"/>
              <w:end w:w="85" w:type="dxa"/>
            </w:tcMar>
          </w:tcPr>
          <w:p>
            <w:pPr>
              <w:spacing w:after="0" w:line="240" w:lineRule="auto"/>
            </w:pPr>
            <w:r>
              <w:rPr>
                <w:rFonts w:ascii="Arial" w:hAnsi="Arial"/>
                <w:b/>
                <w:i w:val="0"/>
                <w:color w:val="102A43"/>
                <w:sz w:val="14"/>
              </w:rPr>
              <w:t>Acquire Business</w:t>
            </w:r>
          </w:p>
        </w:tc>
        <w:tc>
          <w:tcPr>
            <w:tcW w:type="dxa" w:w="7767"/>
            <w:shd w:fill="FFFFFF"/>
            <w:tcMar>
              <w:top w:w="52" w:type="dxa"/>
              <w:start w:w="85" w:type="dxa"/>
              <w:bottom w:w="52" w:type="dxa"/>
              <w:end w:w="85" w:type="dxa"/>
            </w:tcMar>
          </w:tcPr>
          <w:p>
            <w:pPr>
              <w:spacing w:after="0" w:line="240" w:lineRule="auto"/>
            </w:pPr>
            <w:r>
              <w:rPr>
                <w:rFonts w:ascii="Arial" w:hAnsi="Arial"/>
                <w:b w:val="0"/>
                <w:i w:val="0"/>
                <w:color w:val="17212B"/>
                <w:sz w:val="14"/>
              </w:rPr>
              <w:t>High revenue/company, but only 262 April revenue companies and 6.79% of April revenue.</w:t>
            </w:r>
          </w:p>
        </w:tc>
      </w:tr>
      <w:tr>
        <w:trPr>
          <w:cantSplit/>
        </w:trPr>
        <w:tc>
          <w:tcPr>
            <w:tcW w:type="dxa" w:w="2608"/>
            <w:shd w:fill="F3F5F7"/>
            <w:tcMar>
              <w:top w:w="52" w:type="dxa"/>
              <w:start w:w="85" w:type="dxa"/>
              <w:bottom w:w="52" w:type="dxa"/>
              <w:end w:w="85" w:type="dxa"/>
            </w:tcMar>
          </w:tcPr>
          <w:p>
            <w:pPr>
              <w:spacing w:after="0" w:line="240" w:lineRule="auto"/>
            </w:pPr>
            <w:r>
              <w:rPr>
                <w:rFonts w:ascii="Arial" w:hAnsi="Arial"/>
                <w:b/>
                <w:i w:val="0"/>
                <w:color w:val="102A43"/>
                <w:sz w:val="14"/>
              </w:rPr>
              <w:t>Immediate plan upsell</w:t>
            </w:r>
          </w:p>
        </w:tc>
        <w:tc>
          <w:tcPr>
            <w:tcW w:type="dxa" w:w="7767"/>
            <w:shd w:fill="F3F5F7"/>
            <w:tcMar>
              <w:top w:w="52" w:type="dxa"/>
              <w:start w:w="85" w:type="dxa"/>
              <w:bottom w:w="52" w:type="dxa"/>
              <w:end w:w="85" w:type="dxa"/>
            </w:tcMar>
          </w:tcPr>
          <w:p>
            <w:pPr>
              <w:spacing w:after="0" w:line="240" w:lineRule="auto"/>
            </w:pPr>
            <w:r>
              <w:rPr>
                <w:rFonts w:ascii="Arial" w:hAnsi="Arial"/>
                <w:b w:val="0"/>
                <w:i w:val="0"/>
                <w:color w:val="17212B"/>
                <w:sz w:val="14"/>
              </w:rPr>
              <w:t>Initial plan is not current plan and correlation is not a causal effect.</w:t>
            </w:r>
          </w:p>
        </w:tc>
      </w:tr>
      <w:tr>
        <w:trPr>
          <w:cantSplit/>
        </w:trPr>
        <w:tc>
          <w:tcPr>
            <w:tcW w:type="dxa" w:w="2608"/>
            <w:shd w:fill="FFFFFF"/>
            <w:tcMar>
              <w:top w:w="52" w:type="dxa"/>
              <w:start w:w="85" w:type="dxa"/>
              <w:bottom w:w="52" w:type="dxa"/>
              <w:end w:w="85" w:type="dxa"/>
            </w:tcMar>
          </w:tcPr>
          <w:p>
            <w:pPr>
              <w:spacing w:after="0" w:line="240" w:lineRule="auto"/>
            </w:pPr>
            <w:r>
              <w:rPr>
                <w:rFonts w:ascii="Arial" w:hAnsi="Arial"/>
                <w:b/>
                <w:i w:val="0"/>
                <w:color w:val="102A43"/>
                <w:sz w:val="14"/>
              </w:rPr>
              <w:t>Blanket churn campaign</w:t>
            </w:r>
          </w:p>
        </w:tc>
        <w:tc>
          <w:tcPr>
            <w:tcW w:type="dxa" w:w="7767"/>
            <w:shd w:fill="FFFFFF"/>
            <w:tcMar>
              <w:top w:w="52" w:type="dxa"/>
              <w:start w:w="85" w:type="dxa"/>
              <w:bottom w:w="52" w:type="dxa"/>
              <w:end w:w="85" w:type="dxa"/>
            </w:tcMar>
          </w:tcPr>
          <w:p>
            <w:pPr>
              <w:spacing w:after="0" w:line="240" w:lineRule="auto"/>
            </w:pPr>
            <w:r>
              <w:rPr>
                <w:rFonts w:ascii="Arial" w:hAnsi="Arial"/>
                <w:b w:val="0"/>
                <w:i w:val="0"/>
                <w:color w:val="17212B"/>
                <w:sz w:val="14"/>
              </w:rPr>
              <w:t>A decline, revenue gap, or company closure does not prove customer churn.</w:t>
            </w:r>
          </w:p>
        </w:tc>
      </w:tr>
      <w:tr>
        <w:trPr>
          <w:cantSplit/>
        </w:trPr>
        <w:tc>
          <w:tcPr>
            <w:tcW w:type="dxa" w:w="2608"/>
            <w:shd w:fill="F3F5F7"/>
            <w:tcMar>
              <w:top w:w="52" w:type="dxa"/>
              <w:start w:w="85" w:type="dxa"/>
              <w:bottom w:w="52" w:type="dxa"/>
              <w:end w:w="85" w:type="dxa"/>
            </w:tcMar>
          </w:tcPr>
          <w:p>
            <w:pPr>
              <w:spacing w:after="0" w:line="240" w:lineRule="auto"/>
            </w:pPr>
            <w:r>
              <w:rPr>
                <w:rFonts w:ascii="Arial" w:hAnsi="Arial"/>
                <w:b/>
                <w:i w:val="0"/>
                <w:color w:val="102A43"/>
                <w:sz w:val="14"/>
              </w:rPr>
              <w:t>Headline May</w:t>
            </w:r>
          </w:p>
        </w:tc>
        <w:tc>
          <w:tcPr>
            <w:tcW w:type="dxa" w:w="7767"/>
            <w:shd w:fill="F3F5F7"/>
            <w:tcMar>
              <w:top w:w="52" w:type="dxa"/>
              <w:start w:w="85" w:type="dxa"/>
              <w:bottom w:w="52" w:type="dxa"/>
              <w:end w:w="85" w:type="dxa"/>
            </w:tcMar>
          </w:tcPr>
          <w:p>
            <w:pPr>
              <w:spacing w:after="0" w:line="240" w:lineRule="auto"/>
            </w:pPr>
            <w:r>
              <w:rPr>
                <w:rFonts w:ascii="Arial" w:hAnsi="Arial"/>
                <w:b w:val="0"/>
                <w:i w:val="0"/>
                <w:color w:val="17212B"/>
                <w:sz w:val="14"/>
              </w:rPr>
              <w:t>May revenue is retained as sensitivity, but signup coverage is incomplete.</w:t>
            </w:r>
          </w:p>
        </w:tc>
      </w:tr>
    </w:tbl>
    <w:p>
      <w:r>
        <w:br w:type="page"/>
      </w:r>
    </w:p>
    <w:p>
      <w:pPr>
        <w:spacing w:after="20"/>
      </w:pPr>
      <w:r>
        <w:rPr>
          <w:rFonts w:ascii="Arial" w:hAnsi="Arial"/>
          <w:b/>
          <w:i w:val="0"/>
          <w:color w:val="008C8C"/>
          <w:sz w:val="16"/>
        </w:rPr>
        <w:t>PAGE 3 • TRANSPARENCY AND PROOF</w:t>
      </w:r>
    </w:p>
    <w:p>
      <w:pPr>
        <w:keepNext/>
        <w:spacing w:after="30"/>
      </w:pPr>
      <w:r>
        <w:rPr>
          <w:rFonts w:ascii="Arial" w:hAnsi="Arial"/>
          <w:b/>
          <w:i w:val="0"/>
          <w:color w:val="102A43"/>
          <w:sz w:val="40"/>
        </w:rPr>
        <w:t>Start simple; use advanced SQL to test whether the story survives</w:t>
      </w:r>
    </w:p>
    <w:p>
      <w:pPr>
        <w:spacing w:after="120"/>
      </w:pPr>
      <w:r>
        <w:rPr>
          <w:rFonts w:ascii="Arial" w:hAnsi="Arial"/>
          <w:b w:val="0"/>
          <w:i w:val="0"/>
          <w:color w:val="5E6C76"/>
          <w:sz w:val="17"/>
        </w:rPr>
        <w:t>Raw numbers remain the entry point—the model is the validation layer</w:t>
      </w:r>
    </w:p>
    <w:p>
      <w:pPr>
        <w:keepNext/>
        <w:spacing w:before="0" w:after="60"/>
      </w:pPr>
      <w:r>
        <w:rPr>
          <w:rFonts w:ascii="Arial" w:hAnsi="Arial"/>
          <w:b/>
          <w:i w:val="0"/>
          <w:color w:val="102A43"/>
          <w:sz w:val="21"/>
        </w:rPr>
        <w:t>What each layer answers</w:t>
      </w:r>
    </w:p>
    <w:tbl>
      <w:tblPr>
        <w:tblW w:type="auto" w:w="0"/>
        <w:tblLayout w:type="fixed"/>
        <w:tblLook w:firstColumn="1" w:firstRow="1" w:lastColumn="0" w:lastRow="0" w:noHBand="0" w:noVBand="1" w:val="04A0"/>
        <w:tblBorders>
          <w:top w:val="single" w:sz="3" w:color="D8DEE3"/>
          <w:left w:val="single" w:sz="3" w:color="D8DEE3"/>
          <w:bottom w:val="single" w:sz="3" w:color="D8DEE3"/>
          <w:right w:val="single" w:sz="3" w:color="D8DEE3"/>
          <w:insideH w:val="single" w:sz="3" w:color="D8DEE3"/>
          <w:insideV w:val="single" w:sz="3" w:color="D8DEE3"/>
        </w:tblBorders>
      </w:tblPr>
      <w:tblGrid>
        <w:gridCol w:w="1871"/>
        <w:gridCol w:w="2381"/>
        <w:gridCol w:w="2835"/>
        <w:gridCol w:w="3288"/>
      </w:tblGrid>
      <w:tr>
        <w:trPr>
          <w:tblHeader w:val="true"/>
        </w:trPr>
        <w:tc>
          <w:tcPr>
            <w:tcW w:type="dxa" w:w="2622"/>
            <w:shd w:fill="102A43"/>
            <w:tcMar>
              <w:top w:w="70" w:type="dxa"/>
              <w:start w:w="85" w:type="dxa"/>
              <w:bottom w:w="70" w:type="dxa"/>
              <w:end w:w="85" w:type="dxa"/>
            </w:tcMar>
          </w:tcPr>
          <w:p>
            <w:pPr>
              <w:spacing w:after="0" w:line="240" w:lineRule="auto"/>
            </w:pPr>
            <w:r>
              <w:rPr>
                <w:rFonts w:ascii="Arial" w:hAnsi="Arial"/>
                <w:b/>
                <w:i w:val="0"/>
                <w:color w:val="FFFFFF"/>
                <w:sz w:val="15"/>
              </w:rPr>
              <w:t>Question</w:t>
            </w:r>
          </w:p>
        </w:tc>
        <w:tc>
          <w:tcPr>
            <w:tcW w:type="dxa" w:w="2622"/>
            <w:shd w:fill="102A43"/>
            <w:tcMar>
              <w:top w:w="70" w:type="dxa"/>
              <w:start w:w="85" w:type="dxa"/>
              <w:bottom w:w="70" w:type="dxa"/>
              <w:end w:w="85" w:type="dxa"/>
            </w:tcMar>
          </w:tcPr>
          <w:p>
            <w:pPr>
              <w:spacing w:after="0" w:line="240" w:lineRule="auto"/>
            </w:pPr>
            <w:r>
              <w:rPr>
                <w:rFonts w:ascii="Arial" w:hAnsi="Arial"/>
                <w:b/>
                <w:i w:val="0"/>
                <w:color w:val="FFFFFF"/>
                <w:sz w:val="15"/>
              </w:rPr>
              <w:t>Simple view</w:t>
            </w:r>
          </w:p>
        </w:tc>
        <w:tc>
          <w:tcPr>
            <w:tcW w:type="dxa" w:w="2622"/>
            <w:shd w:fill="102A43"/>
            <w:tcMar>
              <w:top w:w="70" w:type="dxa"/>
              <w:start w:w="85" w:type="dxa"/>
              <w:bottom w:w="70" w:type="dxa"/>
              <w:end w:w="85" w:type="dxa"/>
            </w:tcMar>
          </w:tcPr>
          <w:p>
            <w:pPr>
              <w:spacing w:after="0" w:line="240" w:lineRule="auto"/>
            </w:pPr>
            <w:r>
              <w:rPr>
                <w:rFonts w:ascii="Arial" w:hAnsi="Arial"/>
                <w:b/>
                <w:i w:val="0"/>
                <w:color w:val="FFFFFF"/>
                <w:sz w:val="15"/>
              </w:rPr>
              <w:t>Advanced check</w:t>
            </w:r>
          </w:p>
        </w:tc>
        <w:tc>
          <w:tcPr>
            <w:tcW w:type="dxa" w:w="2622"/>
            <w:shd w:fill="102A43"/>
            <w:tcMar>
              <w:top w:w="70" w:type="dxa"/>
              <w:start w:w="85" w:type="dxa"/>
              <w:bottom w:w="70" w:type="dxa"/>
              <w:end w:w="85" w:type="dxa"/>
            </w:tcMar>
          </w:tcPr>
          <w:p>
            <w:pPr>
              <w:spacing w:after="0" w:line="240" w:lineRule="auto"/>
            </w:pPr>
            <w:r>
              <w:rPr>
                <w:rFonts w:ascii="Arial" w:hAnsi="Arial"/>
                <w:b/>
                <w:i w:val="0"/>
                <w:color w:val="FFFFFF"/>
                <w:sz w:val="15"/>
              </w:rPr>
              <w:t>Where</w:t>
            </w:r>
          </w:p>
        </w:tc>
      </w:tr>
      <w:tr>
        <w:trPr>
          <w:cantSplit/>
        </w:trPr>
        <w:tc>
          <w:tcPr>
            <w:tcW w:type="dxa" w:w="1871"/>
            <w:shd w:fill="FFFFFF"/>
            <w:tcMar>
              <w:top w:w="55" w:type="dxa"/>
              <w:start w:w="80" w:type="dxa"/>
              <w:bottom w:w="55" w:type="dxa"/>
              <w:end w:w="80" w:type="dxa"/>
            </w:tcMar>
          </w:tcPr>
          <w:p>
            <w:pPr>
              <w:spacing w:after="0" w:line="240" w:lineRule="auto"/>
            </w:pPr>
            <w:r>
              <w:rPr>
                <w:rFonts w:ascii="Arial" w:hAnsi="Arial"/>
                <w:b/>
                <w:i w:val="0"/>
                <w:color w:val="102A43"/>
                <w:sz w:val="14"/>
              </w:rPr>
              <w:t>Largest persona</w:t>
            </w:r>
          </w:p>
        </w:tc>
        <w:tc>
          <w:tcPr>
            <w:tcW w:type="dxa" w:w="2381"/>
            <w:shd w:fill="FFFFFF"/>
            <w:tcMar>
              <w:top w:w="55" w:type="dxa"/>
              <w:start w:w="80" w:type="dxa"/>
              <w:bottom w:w="55" w:type="dxa"/>
              <w:end w:w="80" w:type="dxa"/>
            </w:tcMar>
          </w:tcPr>
          <w:p>
            <w:pPr>
              <w:spacing w:after="0" w:line="240" w:lineRule="auto"/>
            </w:pPr>
            <w:r>
              <w:rPr>
                <w:rFonts w:ascii="Arial" w:hAnsi="Arial"/>
                <w:b w:val="0"/>
                <w:i w:val="0"/>
                <w:color w:val="17212B"/>
                <w:sz w:val="14"/>
              </w:rPr>
              <w:t>April and cumulative GROUP BY</w:t>
            </w:r>
          </w:p>
        </w:tc>
        <w:tc>
          <w:tcPr>
            <w:tcW w:type="dxa" w:w="2835"/>
            <w:shd w:fill="FFFFFF"/>
            <w:tcMar>
              <w:top w:w="55" w:type="dxa"/>
              <w:start w:w="80" w:type="dxa"/>
              <w:bottom w:w="55" w:type="dxa"/>
              <w:end w:w="80" w:type="dxa"/>
            </w:tcMar>
          </w:tcPr>
          <w:p>
            <w:pPr>
              <w:spacing w:after="0" w:line="240" w:lineRule="auto"/>
            </w:pPr>
            <w:r>
              <w:rPr>
                <w:rFonts w:ascii="Arial" w:hAnsi="Arial"/>
                <w:b w:val="0"/>
                <w:i w:val="0"/>
                <w:color w:val="17212B"/>
                <w:sz w:val="14"/>
              </w:rPr>
              <w:t>Equal-tenure first 3 complete months</w:t>
            </w:r>
          </w:p>
        </w:tc>
        <w:tc>
          <w:tcPr>
            <w:tcW w:type="dxa" w:w="3288"/>
            <w:shd w:fill="FFFFFF"/>
            <w:tcMar>
              <w:top w:w="55" w:type="dxa"/>
              <w:start w:w="80" w:type="dxa"/>
              <w:bottom w:w="55" w:type="dxa"/>
              <w:end w:w="80" w:type="dxa"/>
            </w:tcMar>
          </w:tcPr>
          <w:p>
            <w:pPr>
              <w:spacing w:after="0" w:line="240" w:lineRule="auto"/>
            </w:pPr>
            <w:r>
              <w:rPr>
                <w:rFonts w:ascii="Arial" w:hAnsi="Arial"/>
                <w:b w:val="0"/>
                <w:i w:val="0"/>
                <w:color w:val="17212B"/>
                <w:sz w:val="14"/>
              </w:rPr>
              <w:t>sql/revenue_concentration_analysis.sql</w:t>
            </w:r>
          </w:p>
        </w:tc>
      </w:tr>
      <w:tr>
        <w:trPr>
          <w:cantSplit/>
        </w:trPr>
        <w:tc>
          <w:tcPr>
            <w:tcW w:type="dxa" w:w="1871"/>
            <w:shd w:fill="F3F5F7"/>
            <w:tcMar>
              <w:top w:w="55" w:type="dxa"/>
              <w:start w:w="80" w:type="dxa"/>
              <w:bottom w:w="55" w:type="dxa"/>
              <w:end w:w="80" w:type="dxa"/>
            </w:tcMar>
          </w:tcPr>
          <w:p>
            <w:pPr>
              <w:spacing w:after="0" w:line="240" w:lineRule="auto"/>
            </w:pPr>
            <w:r>
              <w:rPr>
                <w:rFonts w:ascii="Arial" w:hAnsi="Arial"/>
                <w:b/>
                <w:i w:val="0"/>
                <w:color w:val="102A43"/>
                <w:sz w:val="14"/>
              </w:rPr>
              <w:t>Revenue concentration</w:t>
            </w:r>
          </w:p>
        </w:tc>
        <w:tc>
          <w:tcPr>
            <w:tcW w:type="dxa" w:w="2381"/>
            <w:shd w:fill="F3F5F7"/>
            <w:tcMar>
              <w:top w:w="55" w:type="dxa"/>
              <w:start w:w="80" w:type="dxa"/>
              <w:bottom w:w="55" w:type="dxa"/>
              <w:end w:w="80" w:type="dxa"/>
            </w:tcMar>
          </w:tcPr>
          <w:p>
            <w:pPr>
              <w:spacing w:after="0" w:line="240" w:lineRule="auto"/>
            </w:pPr>
            <w:r>
              <w:rPr>
                <w:rFonts w:ascii="Arial" w:hAnsi="Arial"/>
                <w:b w:val="0"/>
                <w:i w:val="0"/>
                <w:color w:val="17212B"/>
                <w:sz w:val="14"/>
              </w:rPr>
              <w:t>Not used to pick the segment</w:t>
            </w:r>
          </w:p>
        </w:tc>
        <w:tc>
          <w:tcPr>
            <w:tcW w:type="dxa" w:w="2835"/>
            <w:shd w:fill="F3F5F7"/>
            <w:tcMar>
              <w:top w:w="55" w:type="dxa"/>
              <w:start w:w="80" w:type="dxa"/>
              <w:bottom w:w="55" w:type="dxa"/>
              <w:end w:w="80" w:type="dxa"/>
            </w:tcMar>
          </w:tcPr>
          <w:p>
            <w:pPr>
              <w:spacing w:after="0" w:line="240" w:lineRule="auto"/>
            </w:pPr>
            <w:r>
              <w:rPr>
                <w:rFonts w:ascii="Arial" w:hAnsi="Arial"/>
                <w:b w:val="0"/>
                <w:i w:val="0"/>
                <w:color w:val="17212B"/>
                <w:sz w:val="14"/>
              </w:rPr>
              <w:t>Top-10/top-20 and Pareto sensitivities</w:t>
            </w:r>
          </w:p>
        </w:tc>
        <w:tc>
          <w:tcPr>
            <w:tcW w:type="dxa" w:w="3288"/>
            <w:shd w:fill="F3F5F7"/>
            <w:tcMar>
              <w:top w:w="55" w:type="dxa"/>
              <w:start w:w="80" w:type="dxa"/>
              <w:bottom w:w="55" w:type="dxa"/>
              <w:end w:w="80" w:type="dxa"/>
            </w:tcMar>
          </w:tcPr>
          <w:p>
            <w:pPr>
              <w:spacing w:after="0" w:line="240" w:lineRule="auto"/>
            </w:pPr>
            <w:r>
              <w:rPr>
                <w:rFonts w:ascii="Arial" w:hAnsi="Arial"/>
                <w:b w:val="0"/>
                <w:i w:val="0"/>
                <w:color w:val="17212B"/>
                <w:sz w:val="14"/>
              </w:rPr>
              <w:t>sql/revenue_concentration_analysis.sql</w:t>
            </w:r>
          </w:p>
        </w:tc>
      </w:tr>
      <w:tr>
        <w:trPr>
          <w:cantSplit/>
        </w:trPr>
        <w:tc>
          <w:tcPr>
            <w:tcW w:type="dxa" w:w="1871"/>
            <w:shd w:fill="FFFFFF"/>
            <w:tcMar>
              <w:top w:w="55" w:type="dxa"/>
              <w:start w:w="80" w:type="dxa"/>
              <w:bottom w:w="55" w:type="dxa"/>
              <w:end w:w="80" w:type="dxa"/>
            </w:tcMar>
          </w:tcPr>
          <w:p>
            <w:pPr>
              <w:spacing w:after="0" w:line="240" w:lineRule="auto"/>
            </w:pPr>
            <w:r>
              <w:rPr>
                <w:rFonts w:ascii="Arial" w:hAnsi="Arial"/>
                <w:b/>
                <w:i w:val="0"/>
                <w:color w:val="102A43"/>
                <w:sz w:val="14"/>
              </w:rPr>
              <w:t>Account health</w:t>
            </w:r>
          </w:p>
        </w:tc>
        <w:tc>
          <w:tcPr>
            <w:tcW w:type="dxa" w:w="2381"/>
            <w:shd w:fill="FFFFFF"/>
            <w:tcMar>
              <w:top w:w="55" w:type="dxa"/>
              <w:start w:w="80" w:type="dxa"/>
              <w:bottom w:w="55" w:type="dxa"/>
              <w:end w:w="80" w:type="dxa"/>
            </w:tcMar>
          </w:tcPr>
          <w:p>
            <w:pPr>
              <w:spacing w:after="0" w:line="240" w:lineRule="auto"/>
            </w:pPr>
            <w:r>
              <w:rPr>
                <w:rFonts w:ascii="Arial" w:hAnsi="Arial"/>
                <w:b w:val="0"/>
                <w:i w:val="0"/>
                <w:color w:val="17212B"/>
                <w:sz w:val="14"/>
              </w:rPr>
              <w:t>March-to-April decline</w:t>
            </w:r>
          </w:p>
        </w:tc>
        <w:tc>
          <w:tcPr>
            <w:tcW w:type="dxa" w:w="2835"/>
            <w:shd w:fill="FFFFFF"/>
            <w:tcMar>
              <w:top w:w="55" w:type="dxa"/>
              <w:start w:w="80" w:type="dxa"/>
              <w:bottom w:w="55" w:type="dxa"/>
              <w:end w:w="80" w:type="dxa"/>
            </w:tcMar>
          </w:tcPr>
          <w:p>
            <w:pPr>
              <w:spacing w:after="0" w:line="240" w:lineRule="auto"/>
            </w:pPr>
            <w:r>
              <w:rPr>
                <w:rFonts w:ascii="Arial" w:hAnsi="Arial"/>
                <w:b w:val="0"/>
                <w:i w:val="0"/>
                <w:color w:val="17212B"/>
                <w:sz w:val="14"/>
              </w:rPr>
              <w:t>Trailing median + continuity states</w:t>
            </w:r>
          </w:p>
        </w:tc>
        <w:tc>
          <w:tcPr>
            <w:tcW w:type="dxa" w:w="3288"/>
            <w:shd w:fill="FFFFFF"/>
            <w:tcMar>
              <w:top w:w="55" w:type="dxa"/>
              <w:start w:w="80" w:type="dxa"/>
              <w:bottom w:w="55" w:type="dxa"/>
              <w:end w:w="80" w:type="dxa"/>
            </w:tcMar>
          </w:tcPr>
          <w:p>
            <w:pPr>
              <w:spacing w:after="0" w:line="240" w:lineRule="auto"/>
            </w:pPr>
            <w:r>
              <w:rPr>
                <w:rFonts w:ascii="Arial" w:hAnsi="Arial"/>
                <w:b w:val="0"/>
                <w:i w:val="0"/>
                <w:color w:val="17212B"/>
                <w:sz w:val="14"/>
              </w:rPr>
              <w:t>sql/presentation_kpis.sql</w:t>
            </w:r>
          </w:p>
        </w:tc>
      </w:tr>
      <w:tr>
        <w:trPr>
          <w:cantSplit/>
        </w:trPr>
        <w:tc>
          <w:tcPr>
            <w:tcW w:type="dxa" w:w="1871"/>
            <w:shd w:fill="F3F5F7"/>
            <w:tcMar>
              <w:top w:w="55" w:type="dxa"/>
              <w:start w:w="80" w:type="dxa"/>
              <w:bottom w:w="55" w:type="dxa"/>
              <w:end w:w="80" w:type="dxa"/>
            </w:tcMar>
          </w:tcPr>
          <w:p>
            <w:pPr>
              <w:spacing w:after="0" w:line="240" w:lineRule="auto"/>
            </w:pPr>
            <w:r>
              <w:rPr>
                <w:rFonts w:ascii="Arial" w:hAnsi="Arial"/>
                <w:b/>
                <w:i w:val="0"/>
                <w:color w:val="102A43"/>
                <w:sz w:val="14"/>
              </w:rPr>
              <w:t>Inactivity</w:t>
            </w:r>
          </w:p>
        </w:tc>
        <w:tc>
          <w:tcPr>
            <w:tcW w:type="dxa" w:w="2381"/>
            <w:shd w:fill="F3F5F7"/>
            <w:tcMar>
              <w:top w:w="55" w:type="dxa"/>
              <w:start w:w="80" w:type="dxa"/>
              <w:bottom w:w="55" w:type="dxa"/>
              <w:end w:w="80" w:type="dxa"/>
            </w:tcMar>
          </w:tcPr>
          <w:p>
            <w:pPr>
              <w:spacing w:after="0" w:line="240" w:lineRule="auto"/>
            </w:pPr>
            <w:r>
              <w:rPr>
                <w:rFonts w:ascii="Arial" w:hAnsi="Arial"/>
                <w:b w:val="0"/>
                <w:i w:val="0"/>
                <w:color w:val="17212B"/>
                <w:sz w:val="14"/>
              </w:rPr>
              <w:t>Missing revenue row</w:t>
            </w:r>
          </w:p>
        </w:tc>
        <w:tc>
          <w:tcPr>
            <w:tcW w:type="dxa" w:w="2835"/>
            <w:shd w:fill="F3F5F7"/>
            <w:tcMar>
              <w:top w:w="55" w:type="dxa"/>
              <w:start w:w="80" w:type="dxa"/>
              <w:bottom w:w="55" w:type="dxa"/>
              <w:end w:w="80" w:type="dxa"/>
            </w:tcMar>
          </w:tcPr>
          <w:p>
            <w:pPr>
              <w:spacing w:after="0" w:line="240" w:lineRule="auto"/>
            </w:pPr>
            <w:r>
              <w:rPr>
                <w:rFonts w:ascii="Arial" w:hAnsi="Arial"/>
                <w:b w:val="0"/>
                <w:i w:val="0"/>
                <w:color w:val="17212B"/>
                <w:sz w:val="14"/>
              </w:rPr>
              <w:t>Return curve and lifecycle states</w:t>
            </w:r>
          </w:p>
        </w:tc>
        <w:tc>
          <w:tcPr>
            <w:tcW w:type="dxa" w:w="3288"/>
            <w:shd w:fill="F3F5F7"/>
            <w:tcMar>
              <w:top w:w="55" w:type="dxa"/>
              <w:start w:w="80" w:type="dxa"/>
              <w:bottom w:w="55" w:type="dxa"/>
              <w:end w:w="80" w:type="dxa"/>
            </w:tcMar>
          </w:tcPr>
          <w:p>
            <w:pPr>
              <w:spacing w:after="0" w:line="240" w:lineRule="auto"/>
            </w:pPr>
            <w:r>
              <w:rPr>
                <w:rFonts w:ascii="Arial" w:hAnsi="Arial"/>
                <w:b w:val="0"/>
                <w:i w:val="0"/>
                <w:color w:val="17212B"/>
                <w:sz w:val="14"/>
              </w:rPr>
              <w:t>sql/kpi_deep_dive.sql</w:t>
            </w:r>
          </w:p>
        </w:tc>
      </w:tr>
      <w:tr>
        <w:trPr>
          <w:cantSplit/>
        </w:trPr>
        <w:tc>
          <w:tcPr>
            <w:tcW w:type="dxa" w:w="1871"/>
            <w:shd w:fill="FFFFFF"/>
            <w:tcMar>
              <w:top w:w="55" w:type="dxa"/>
              <w:start w:w="80" w:type="dxa"/>
              <w:bottom w:w="55" w:type="dxa"/>
              <w:end w:w="80" w:type="dxa"/>
            </w:tcMar>
          </w:tcPr>
          <w:p>
            <w:pPr>
              <w:spacing w:after="0" w:line="240" w:lineRule="auto"/>
            </w:pPr>
            <w:r>
              <w:rPr>
                <w:rFonts w:ascii="Arial" w:hAnsi="Arial"/>
                <w:b/>
                <w:i w:val="0"/>
                <w:color w:val="102A43"/>
                <w:sz w:val="14"/>
              </w:rPr>
              <w:t>Cohorts</w:t>
            </w:r>
          </w:p>
        </w:tc>
        <w:tc>
          <w:tcPr>
            <w:tcW w:type="dxa" w:w="2381"/>
            <w:shd w:fill="FFFFFF"/>
            <w:tcMar>
              <w:top w:w="55" w:type="dxa"/>
              <w:start w:w="80" w:type="dxa"/>
              <w:bottom w:w="55" w:type="dxa"/>
              <w:end w:w="80" w:type="dxa"/>
            </w:tcMar>
          </w:tcPr>
          <w:p>
            <w:pPr>
              <w:spacing w:after="0" w:line="240" w:lineRule="auto"/>
            </w:pPr>
            <w:r>
              <w:rPr>
                <w:rFonts w:ascii="Arial" w:hAnsi="Arial"/>
                <w:b w:val="0"/>
                <w:i w:val="0"/>
                <w:color w:val="17212B"/>
                <w:sz w:val="14"/>
              </w:rPr>
              <w:t>Not answered</w:t>
            </w:r>
          </w:p>
        </w:tc>
        <w:tc>
          <w:tcPr>
            <w:tcW w:type="dxa" w:w="2835"/>
            <w:shd w:fill="FFFFFF"/>
            <w:tcMar>
              <w:top w:w="55" w:type="dxa"/>
              <w:start w:w="80" w:type="dxa"/>
              <w:bottom w:w="55" w:type="dxa"/>
              <w:end w:w="80" w:type="dxa"/>
            </w:tcMar>
          </w:tcPr>
          <w:p>
            <w:pPr>
              <w:spacing w:after="0" w:line="240" w:lineRule="auto"/>
            </w:pPr>
            <w:r>
              <w:rPr>
                <w:rFonts w:ascii="Arial" w:hAnsi="Arial"/>
                <w:b w:val="0"/>
                <w:i w:val="0"/>
                <w:color w:val="17212B"/>
                <w:sz w:val="14"/>
              </w:rPr>
              <w:t>Equal-age cohort transitions</w:t>
            </w:r>
          </w:p>
        </w:tc>
        <w:tc>
          <w:tcPr>
            <w:tcW w:type="dxa" w:w="3288"/>
            <w:shd w:fill="FFFFFF"/>
            <w:tcMar>
              <w:top w:w="55" w:type="dxa"/>
              <w:start w:w="80" w:type="dxa"/>
              <w:bottom w:w="55" w:type="dxa"/>
              <w:end w:w="80" w:type="dxa"/>
            </w:tcMar>
          </w:tcPr>
          <w:p>
            <w:pPr>
              <w:spacing w:after="0" w:line="240" w:lineRule="auto"/>
            </w:pPr>
            <w:r>
              <w:rPr>
                <w:rFonts w:ascii="Arial" w:hAnsi="Arial"/>
                <w:b w:val="0"/>
                <w:i w:val="0"/>
                <w:color w:val="17212B"/>
                <w:sz w:val="14"/>
              </w:rPr>
              <w:t>sql/cohort_state_analysis.sql</w:t>
            </w:r>
          </w:p>
        </w:tc>
      </w:tr>
      <w:tr>
        <w:trPr>
          <w:cantSplit/>
        </w:trPr>
        <w:tc>
          <w:tcPr>
            <w:tcW w:type="dxa" w:w="1871"/>
            <w:shd w:fill="F3F5F7"/>
            <w:tcMar>
              <w:top w:w="55" w:type="dxa"/>
              <w:start w:w="80" w:type="dxa"/>
              <w:bottom w:w="55" w:type="dxa"/>
              <w:end w:w="80" w:type="dxa"/>
            </w:tcMar>
          </w:tcPr>
          <w:p>
            <w:pPr>
              <w:spacing w:after="0" w:line="240" w:lineRule="auto"/>
            </w:pPr>
            <w:r>
              <w:rPr>
                <w:rFonts w:ascii="Arial" w:hAnsi="Arial"/>
                <w:b/>
                <w:i w:val="0"/>
                <w:color w:val="102A43"/>
                <w:sz w:val="14"/>
              </w:rPr>
              <w:t>Loyalty</w:t>
            </w:r>
          </w:p>
        </w:tc>
        <w:tc>
          <w:tcPr>
            <w:tcW w:type="dxa" w:w="2381"/>
            <w:shd w:fill="F3F5F7"/>
            <w:tcMar>
              <w:top w:w="55" w:type="dxa"/>
              <w:start w:w="80" w:type="dxa"/>
              <w:bottom w:w="55" w:type="dxa"/>
              <w:end w:w="80" w:type="dxa"/>
            </w:tcMar>
          </w:tcPr>
          <w:p>
            <w:pPr>
              <w:spacing w:after="0" w:line="240" w:lineRule="auto"/>
            </w:pPr>
            <w:r>
              <w:rPr>
                <w:rFonts w:ascii="Arial" w:hAnsi="Arial"/>
                <w:b w:val="0"/>
                <w:i w:val="0"/>
                <w:color w:val="17212B"/>
                <w:sz w:val="14"/>
              </w:rPr>
              <w:t>Not answered</w:t>
            </w:r>
          </w:p>
        </w:tc>
        <w:tc>
          <w:tcPr>
            <w:tcW w:type="dxa" w:w="2835"/>
            <w:shd w:fill="F3F5F7"/>
            <w:tcMar>
              <w:top w:w="55" w:type="dxa"/>
              <w:start w:w="80" w:type="dxa"/>
              <w:bottom w:w="55" w:type="dxa"/>
              <w:end w:w="80" w:type="dxa"/>
            </w:tcMar>
          </w:tcPr>
          <w:p>
            <w:pPr>
              <w:spacing w:after="0" w:line="240" w:lineRule="auto"/>
            </w:pPr>
            <w:r>
              <w:rPr>
                <w:rFonts w:ascii="Arial" w:hAnsi="Arial"/>
                <w:b w:val="0"/>
                <w:i w:val="0"/>
                <w:color w:val="17212B"/>
                <w:sz w:val="14"/>
              </w:rPr>
              <w:t>Streak persistence and restart</w:t>
            </w:r>
          </w:p>
        </w:tc>
        <w:tc>
          <w:tcPr>
            <w:tcW w:type="dxa" w:w="3288"/>
            <w:shd w:fill="F3F5F7"/>
            <w:tcMar>
              <w:top w:w="55" w:type="dxa"/>
              <w:start w:w="80" w:type="dxa"/>
              <w:bottom w:w="55" w:type="dxa"/>
              <w:end w:w="80" w:type="dxa"/>
            </w:tcMar>
          </w:tcPr>
          <w:p>
            <w:pPr>
              <w:spacing w:after="0" w:line="240" w:lineRule="auto"/>
            </w:pPr>
            <w:r>
              <w:rPr>
                <w:rFonts w:ascii="Arial" w:hAnsi="Arial"/>
                <w:b w:val="0"/>
                <w:i w:val="0"/>
                <w:color w:val="17212B"/>
                <w:sz w:val="14"/>
              </w:rPr>
              <w:t>sql/streak_analysis.sql</w:t>
            </w:r>
          </w:p>
        </w:tc>
      </w:tr>
    </w:tbl>
    <w:p>
      <w:pPr>
        <w:keepNext/>
        <w:spacing w:before="60" w:after="60"/>
      </w:pPr>
      <w:r>
        <w:rPr>
          <w:rFonts w:ascii="Arial" w:hAnsi="Arial"/>
          <w:b/>
          <w:i w:val="0"/>
          <w:color w:val="102A43"/>
          <w:sz w:val="21"/>
        </w:rPr>
        <w:t>The useful triangulation</w:t>
      </w:r>
    </w:p>
    <w:tbl>
      <w:tblPr>
        <w:tblW w:type="auto" w:w="0"/>
        <w:tblLayout w:type="fixed"/>
        <w:tblLook w:firstColumn="1" w:firstRow="1" w:lastColumn="0" w:lastRow="0" w:noHBand="0" w:noVBand="1" w:val="04A0"/>
        <w:tblBorders>
          <w:top w:val="single" w:sz="7" w:color="FFFFFF"/>
          <w:left w:val="single" w:sz="7" w:color="FFFFFF"/>
          <w:bottom w:val="single" w:sz="7" w:color="FFFFFF"/>
          <w:right w:val="single" w:sz="7" w:color="FFFFFF"/>
          <w:insideH w:val="single" w:sz="7" w:color="FFFFFF"/>
          <w:insideV w:val="single" w:sz="7" w:color="FFFFFF"/>
        </w:tblBorders>
      </w:tblPr>
      <w:tblGrid>
        <w:gridCol w:w="3458"/>
        <w:gridCol w:w="3458"/>
        <w:gridCol w:w="3458"/>
      </w:tblGrid>
      <w:tr>
        <w:tc>
          <w:tcPr>
            <w:tcW w:type="dxa" w:w="3496"/>
            <w:shd w:fill="F3F5F7"/>
            <w:tcMar>
              <w:top w:w="105" w:type="dxa"/>
              <w:start w:w="110" w:type="dxa"/>
              <w:bottom w:w="105" w:type="dxa"/>
              <w:end w:w="110" w:type="dxa"/>
            </w:tcMar>
          </w:tcPr>
          <w:p>
            <w:pPr>
              <w:jc w:val="center"/>
            </w:pPr>
            <w:r>
              <w:rPr>
                <w:rFonts w:ascii="Arial" w:hAnsi="Arial"/>
                <w:b/>
                <w:i w:val="0"/>
                <w:color w:val="102A43"/>
                <w:sz w:val="32"/>
              </w:rPr>
              <w:t>24.06%</w:t>
            </w:r>
          </w:p>
          <w:p>
            <w:pPr>
              <w:jc w:val="center"/>
            </w:pPr>
            <w:r>
              <w:rPr>
                <w:rFonts w:ascii="Arial" w:hAnsi="Arial"/>
                <w:b/>
                <w:i w:val="0"/>
                <w:color w:val="17212B"/>
                <w:sz w:val="16"/>
              </w:rPr>
              <w:t>BTP share in April</w:t>
            </w:r>
          </w:p>
          <w:p>
            <w:pPr>
              <w:jc w:val="center"/>
            </w:pPr>
            <w:r>
              <w:rPr>
                <w:rFonts w:ascii="Arial" w:hAnsi="Arial"/>
                <w:b w:val="0"/>
                <w:i w:val="0"/>
                <w:color w:val="5E6C76"/>
                <w:sz w:val="14"/>
              </w:rPr>
              <w:t>simple current snapshot</w:t>
            </w:r>
          </w:p>
        </w:tc>
        <w:tc>
          <w:tcPr>
            <w:tcW w:type="dxa" w:w="3496"/>
            <w:shd w:fill="F3F5F7"/>
            <w:tcMar>
              <w:top w:w="105" w:type="dxa"/>
              <w:start w:w="110" w:type="dxa"/>
              <w:bottom w:w="105" w:type="dxa"/>
              <w:end w:w="110" w:type="dxa"/>
            </w:tcMar>
          </w:tcPr>
          <w:p>
            <w:pPr>
              <w:jc w:val="center"/>
            </w:pPr>
            <w:r>
              <w:rPr>
                <w:rFonts w:ascii="Arial" w:hAnsi="Arial"/>
                <w:b/>
                <w:i w:val="0"/>
                <w:color w:val="102A43"/>
                <w:sz w:val="32"/>
              </w:rPr>
              <w:t>25.42%</w:t>
            </w:r>
          </w:p>
          <w:p>
            <w:pPr>
              <w:jc w:val="center"/>
            </w:pPr>
            <w:r>
              <w:rPr>
                <w:rFonts w:ascii="Arial" w:hAnsi="Arial"/>
                <w:b/>
                <w:i w:val="0"/>
                <w:color w:val="17212B"/>
                <w:sz w:val="16"/>
              </w:rPr>
              <w:t>BTP share through April</w:t>
            </w:r>
          </w:p>
          <w:p>
            <w:pPr>
              <w:jc w:val="center"/>
            </w:pPr>
            <w:r>
              <w:rPr>
                <w:rFonts w:ascii="Arial" w:hAnsi="Arial"/>
                <w:b w:val="0"/>
                <w:i w:val="0"/>
                <w:color w:val="5E6C76"/>
                <w:sz w:val="14"/>
              </w:rPr>
              <w:t>simple cumulative view</w:t>
            </w:r>
          </w:p>
        </w:tc>
        <w:tc>
          <w:tcPr>
            <w:tcW w:type="dxa" w:w="3496"/>
            <w:shd w:fill="EAF4F4"/>
            <w:tcMar>
              <w:top w:w="105" w:type="dxa"/>
              <w:start w:w="110" w:type="dxa"/>
              <w:bottom w:w="105" w:type="dxa"/>
              <w:end w:w="110" w:type="dxa"/>
            </w:tcMar>
          </w:tcPr>
          <w:p>
            <w:pPr>
              <w:jc w:val="center"/>
            </w:pPr>
            <w:r>
              <w:rPr>
                <w:rFonts w:ascii="Arial" w:hAnsi="Arial"/>
                <w:b/>
                <w:i w:val="0"/>
                <w:color w:val="008C8C"/>
                <w:sz w:val="32"/>
              </w:rPr>
              <w:t>26.74%</w:t>
            </w:r>
          </w:p>
          <w:p>
            <w:pPr>
              <w:jc w:val="center"/>
            </w:pPr>
            <w:r>
              <w:rPr>
                <w:rFonts w:ascii="Arial" w:hAnsi="Arial"/>
                <w:b/>
                <w:i w:val="0"/>
                <w:color w:val="17212B"/>
                <w:sz w:val="16"/>
              </w:rPr>
              <w:t>BTP equal-tenure share</w:t>
            </w:r>
          </w:p>
          <w:p>
            <w:pPr>
              <w:jc w:val="center"/>
            </w:pPr>
            <w:r>
              <w:rPr>
                <w:rFonts w:ascii="Arial" w:hAnsi="Arial"/>
                <w:b w:val="0"/>
                <w:i w:val="0"/>
                <w:color w:val="5E6C76"/>
                <w:sz w:val="14"/>
              </w:rPr>
              <w:t>advanced confirmation</w:t>
            </w:r>
          </w:p>
        </w:tc>
      </w:tr>
    </w:tbl>
    <w:p>
      <w:pPr>
        <w:keepNext/>
        <w:spacing w:before="60" w:after="60"/>
      </w:pPr>
      <w:r>
        <w:rPr>
          <w:rFonts w:ascii="Arial" w:hAnsi="Arial"/>
          <w:b/>
          <w:i w:val="0"/>
          <w:color w:val="102A43"/>
          <w:sz w:val="21"/>
        </w:rPr>
        <w:t>Lead experiment and validation</w:t>
      </w:r>
    </w:p>
    <w:p>
      <w:pPr>
        <w:pStyle w:val="ListBullet"/>
        <w:spacing w:after="30" w:line="240" w:lineRule="auto"/>
        <w:ind w:left="255" w:hanging="125"/>
      </w:pPr>
      <w:r>
        <w:rPr>
          <w:rFonts w:ascii="Arial" w:hAnsi="Arial"/>
          <w:b w:val="0"/>
          <w:i w:val="0"/>
          <w:color w:val="17212B"/>
          <w:sz w:val="16"/>
        </w:rPr>
        <w:t>Randomise eligible BTP companies to one defined workflow versus business-as-usual; do not target on persona alone.</w:t>
      </w:r>
    </w:p>
    <w:p>
      <w:pPr>
        <w:pStyle w:val="ListBullet"/>
        <w:spacing w:after="30" w:line="240" w:lineRule="auto"/>
        <w:ind w:left="255" w:hanging="125"/>
      </w:pPr>
      <w:r>
        <w:rPr>
          <w:rFonts w:ascii="Arial" w:hAnsi="Arial"/>
          <w:b w:val="0"/>
          <w:i w:val="0"/>
          <w:color w:val="17212B"/>
          <w:sz w:val="16"/>
        </w:rPr>
        <w:t>Measure incremental recognized revenue over 90 days, feature adoption, and account-health guardrails.</w:t>
      </w:r>
    </w:p>
    <w:p>
      <w:pPr>
        <w:pStyle w:val="ListBullet"/>
        <w:spacing w:after="30" w:line="240" w:lineRule="auto"/>
        <w:ind w:left="255" w:hanging="125"/>
      </w:pPr>
      <w:r>
        <w:rPr>
          <w:rFonts w:ascii="Arial" w:hAnsi="Arial"/>
          <w:b w:val="0"/>
          <w:i w:val="0"/>
          <w:color w:val="17212B"/>
          <w:sz w:val="16"/>
        </w:rPr>
        <w:t>Validate missing-row meaning, current plan, product use, channel/CAC, margin, BTP definition, and permitted KYB use.</w:t>
      </w:r>
    </w:p>
    <w:p>
      <w:pPr>
        <w:spacing w:before="60" w:after="20"/>
      </w:pPr>
      <w:r>
        <w:rPr>
          <w:rFonts w:ascii="Arial" w:hAnsi="Arial"/>
          <w:b/>
          <w:i w:val="0"/>
          <w:color w:val="008C8C"/>
          <w:sz w:val="15"/>
        </w:rPr>
        <w:t xml:space="preserve">Simple SQL appendix: </w:t>
      </w:r>
      <w:r>
        <w:rPr>
          <w:rFonts w:ascii="Arial" w:hAnsi="Arial"/>
          <w:b w:val="0"/>
          <w:i w:val="0"/>
          <w:color w:val="17212B"/>
          <w:sz w:val="15"/>
        </w:rPr>
        <w:t>sql/simple_raw_memo_queries.sql</w:t>
      </w:r>
    </w:p>
    <w:p>
      <w:pPr>
        <w:spacing w:after="20"/>
      </w:pPr>
      <w:r>
        <w:rPr>
          <w:rFonts w:ascii="Arial" w:hAnsi="Arial"/>
          <w:b/>
          <w:i w:val="0"/>
          <w:color w:val="008C8C"/>
          <w:sz w:val="15"/>
        </w:rPr>
        <w:t xml:space="preserve">Advanced SQL: </w:t>
      </w:r>
      <w:r>
        <w:rPr>
          <w:rFonts w:ascii="Arial" w:hAnsi="Arial"/>
          <w:b w:val="0"/>
          <w:i w:val="0"/>
          <w:color w:val="5E6C76"/>
          <w:sz w:val="14"/>
        </w:rPr>
        <w:t>revenue_concentration_analysis.sql • presentation_kpis.sql • cohort_state_analysis.sql • streak_analysis.sql • kpi_deep_dive.sql</w:t>
      </w:r>
    </w:p>
    <w:p>
      <w:pPr>
        <w:spacing w:after="0"/>
      </w:pPr>
      <w:r>
        <w:rPr>
          <w:rFonts w:ascii="Arial" w:hAnsi="Arial"/>
          <w:b/>
          <w:i w:val="0"/>
          <w:color w:val="008C8C"/>
          <w:sz w:val="15"/>
        </w:rPr>
        <w:t xml:space="preserve">External context: </w:t>
      </w:r>
      <w:r>
        <w:rPr>
          <w:rFonts w:ascii="Arial" w:hAnsi="Arial"/>
          <w:b w:val="0"/>
          <w:i w:val="0"/>
          <w:color w:val="5E6C76"/>
          <w:sz w:val="14"/>
        </w:rPr>
        <w:t>docs/research/SHINE_MARKET_RESEARCH_AND_STRATEGY.md</w:t>
      </w:r>
    </w:p>
    <w:p>
      <w:r>
        <w:br w:type="page"/>
      </w:r>
    </w:p>
    <w:p>
      <w:pPr>
        <w:spacing w:after="20"/>
      </w:pPr>
      <w:r>
        <w:rPr>
          <w:rFonts w:ascii="Arial" w:hAnsi="Arial"/>
          <w:b/>
          <w:i w:val="0"/>
          <w:color w:val="008C8C"/>
          <w:sz w:val="16"/>
        </w:rPr>
        <w:t>PAGE 4 • REVENUE-COMPONENT HEATMAP</w:t>
      </w:r>
    </w:p>
    <w:p>
      <w:pPr>
        <w:keepNext/>
        <w:spacing w:after="30"/>
      </w:pPr>
      <w:r>
        <w:rPr>
          <w:rFonts w:ascii="Arial" w:hAnsi="Arial"/>
          <w:b/>
          <w:i w:val="0"/>
          <w:color w:val="102A43"/>
          <w:sz w:val="40"/>
        </w:rPr>
        <w:t>BTP combines broad scale with strong cumulative monetization</w:t>
      </w:r>
    </w:p>
    <w:p>
      <w:pPr>
        <w:spacing w:after="120"/>
      </w:pPr>
      <w:r>
        <w:rPr>
          <w:rFonts w:ascii="Arial" w:hAnsi="Arial"/>
          <w:b w:val="0"/>
          <w:i w:val="0"/>
          <w:color w:val="5E6C76"/>
          <w:sz w:val="17"/>
        </w:rPr>
        <w:t>Simple raw-data view • Cumulative through April 2026 • May excluded</w:t>
      </w:r>
    </w:p>
    <w:p>
      <w:pPr>
        <w:spacing w:before="40" w:after="40"/>
        <w:jc w:val="center"/>
      </w:pPr>
      <w:r>
        <w:drawing>
          <wp:inline xmlns:a="http://schemas.openxmlformats.org/drawingml/2006/main" xmlns:pic="http://schemas.openxmlformats.org/drawingml/2006/picture">
            <wp:extent cx="6083999" cy="4356946"/>
            <wp:docPr id="3" name="Picture 3"/>
            <wp:cNvGraphicFramePr>
              <a:graphicFrameLocks noChangeAspect="1"/>
            </wp:cNvGraphicFramePr>
            <a:graphic>
              <a:graphicData uri="http://schemas.openxmlformats.org/drawingml/2006/picture">
                <pic:pic>
                  <pic:nvPicPr>
                    <pic:cNvPr id="0" name="simple_raw_revenue_per_company_heatmap.png"/>
                    <pic:cNvPicPr/>
                  </pic:nvPicPr>
                  <pic:blipFill>
                    <a:blip r:embed="rId12"/>
                    <a:stretch>
                      <a:fillRect/>
                    </a:stretch>
                  </pic:blipFill>
                  <pic:spPr>
                    <a:xfrm>
                      <a:off x="0" y="0"/>
                      <a:ext cx="6083999" cy="4356946"/>
                    </a:xfrm>
                    <a:prstGeom prst="rect"/>
                  </pic:spPr>
                </pic:pic>
              </a:graphicData>
            </a:graphic>
          </wp:inline>
        </w:drawing>
      </w:r>
    </w:p>
    <w:tbl>
      <w:tblPr>
        <w:tblW w:type="auto" w:w="0"/>
        <w:tblLayout w:type="fixed"/>
        <w:tblLook w:firstColumn="1" w:firstRow="1" w:lastColumn="0" w:lastRow="0" w:noHBand="0" w:noVBand="1" w:val="04A0"/>
        <w:tblBorders>
          <w:top w:val="single" w:sz="7" w:color="FFFFFF"/>
          <w:left w:val="single" w:sz="7" w:color="FFFFFF"/>
          <w:bottom w:val="single" w:sz="7" w:color="FFFFFF"/>
          <w:right w:val="single" w:sz="7" w:color="FFFFFF"/>
          <w:insideH w:val="single" w:sz="7" w:color="FFFFFF"/>
          <w:insideV w:val="single" w:sz="7" w:color="FFFFFF"/>
        </w:tblBorders>
      </w:tblPr>
      <w:tblGrid>
        <w:gridCol w:w="5159"/>
        <w:gridCol w:w="5159"/>
      </w:tblGrid>
      <w:tr>
        <w:tc>
          <w:tcPr>
            <w:tcW w:type="dxa" w:w="5244"/>
            <w:tcMar>
              <w:top w:w="85" w:type="dxa"/>
              <w:start w:w="105" w:type="dxa"/>
              <w:bottom w:w="85" w:type="dxa"/>
              <w:end w:w="105" w:type="dxa"/>
            </w:tcMar>
            <w:shd w:fill="EAF4F4"/>
          </w:tcPr>
          <w:p>
            <w:pPr>
              <w:spacing w:after="40" w:line="240" w:lineRule="auto"/>
            </w:pPr>
            <w:r>
              <w:rPr>
                <w:rFonts w:ascii="Arial" w:hAnsi="Arial"/>
                <w:b/>
                <w:i w:val="0"/>
                <w:color w:val="008C8C"/>
                <w:sz w:val="17"/>
              </w:rPr>
              <w:t>How to read it</w:t>
            </w:r>
          </w:p>
          <w:p>
            <w:pPr>
              <w:spacing w:after="40" w:line="240" w:lineRule="auto"/>
            </w:pPr>
            <w:r>
              <w:rPr>
                <w:rFonts w:ascii="Arial" w:hAnsi="Arial"/>
                <w:b w:val="0"/>
                <w:i w:val="0"/>
                <w:color w:val="17212B"/>
                <w:sz w:val="15"/>
              </w:rPr>
              <w:t>Each coloured cell is the cumulative sum of that revenue component divided by distinct companies with at least one revenue row through April. Darker cells mean more cumulative euros per such company.</w:t>
            </w:r>
          </w:p>
          <w:p>
            <w:pPr>
              <w:spacing w:after="40" w:line="240" w:lineRule="auto"/>
            </w:pPr>
            <w:r>
              <w:rPr>
                <w:rFonts w:ascii="Arial" w:hAnsi="Arial"/>
                <w:b w:val="0"/>
                <w:i w:val="0"/>
                <w:color w:val="17212B"/>
                <w:sz w:val="15"/>
              </w:rPr>
              <w:t>The neutral Total column is the sum of the four components and determines the descending row order. It is deliberately excluded from the colour scale so it does not wash out the component differences.</w:t>
            </w:r>
          </w:p>
          <w:p>
            <w:pPr>
              <w:spacing w:after="0" w:line="240" w:lineRule="auto"/>
            </w:pPr>
            <w:r>
              <w:rPr>
                <w:rFonts w:ascii="Arial" w:hAnsi="Arial"/>
                <w:b w:val="0"/>
                <w:i w:val="0"/>
                <w:color w:val="17212B"/>
                <w:sz w:val="15"/>
              </w:rPr>
              <w:t>Use Page 1 revenue-share bars for segment scale; use this heatmap to compare monetization intensity and identify which revenue types drive it.</w:t>
            </w:r>
          </w:p>
        </w:tc>
        <w:tc>
          <w:tcPr>
            <w:tcW w:type="dxa" w:w="5244"/>
            <w:tcMar>
              <w:top w:w="85" w:type="dxa"/>
              <w:start w:w="105" w:type="dxa"/>
              <w:bottom w:w="85" w:type="dxa"/>
              <w:end w:w="105" w:type="dxa"/>
            </w:tcMar>
            <w:shd w:fill="F3F5F7"/>
          </w:tcPr>
          <w:p>
            <w:pPr>
              <w:spacing w:after="40" w:line="240" w:lineRule="auto"/>
            </w:pPr>
            <w:r>
              <w:rPr>
                <w:rFonts w:ascii="Arial" w:hAnsi="Arial"/>
                <w:b/>
                <w:i w:val="0"/>
                <w:color w:val="C95C3D"/>
                <w:sz w:val="17"/>
              </w:rPr>
              <w:t>Limitations</w:t>
            </w:r>
          </w:p>
          <w:p>
            <w:pPr>
              <w:spacing w:after="40" w:line="240" w:lineRule="auto"/>
            </w:pPr>
            <w:r>
              <w:rPr>
                <w:rFonts w:ascii="Arial" w:hAnsi="Arial"/>
                <w:b w:val="0"/>
                <w:i w:val="0"/>
                <w:color w:val="17212B"/>
                <w:sz w:val="15"/>
              </w:rPr>
              <w:t>This is cumulative revenue per revenue company, not a monthly average. Older companies have had more months to accumulate revenue, so tenure can influence the ranking.</w:t>
            </w:r>
          </w:p>
          <w:p>
            <w:pPr>
              <w:spacing w:after="0" w:line="240" w:lineRule="auto"/>
            </w:pPr>
            <w:r>
              <w:rPr>
                <w:rFonts w:ascii="Arial" w:hAnsi="Arial"/>
                <w:b w:val="0"/>
                <w:i w:val="0"/>
                <w:color w:val="17212B"/>
                <w:sz w:val="15"/>
              </w:rPr>
              <w:t>The inner join excludes companies with no revenue row. Small personas can also be volatile—especially Repair Installation (n=38). Revenue is not profit and does not prove that persona membership caused performance.</w:t>
            </w:r>
          </w:p>
        </w:tc>
      </w:tr>
    </w:tbl>
    <w:p>
      <w:pPr>
        <w:spacing w:before="60" w:after="0"/>
      </w:pPr>
      <w:r>
        <w:rPr>
          <w:rFonts w:ascii="Arial" w:hAnsi="Arial"/>
          <w:b/>
          <w:i w:val="0"/>
          <w:color w:val="008C8C"/>
          <w:sz w:val="15"/>
        </w:rPr>
        <w:t xml:space="preserve">Reproducible SQL: </w:t>
      </w:r>
      <w:r>
        <w:rPr>
          <w:rFonts w:ascii="Arial" w:hAnsi="Arial"/>
          <w:b w:val="0"/>
          <w:i w:val="0"/>
          <w:color w:val="17212B"/>
          <w:sz w:val="15"/>
        </w:rPr>
        <w:t>Query 9 in sql/simple_raw_memo_queries.sql</w:t>
      </w:r>
    </w:p>
    <w:p>
      <w:r>
        <w:br w:type="page"/>
      </w:r>
    </w:p>
    <w:p>
      <w:pPr>
        <w:spacing w:after="20"/>
      </w:pPr>
      <w:r>
        <w:rPr>
          <w:rFonts w:ascii="Arial" w:hAnsi="Arial"/>
          <w:b/>
          <w:i w:val="0"/>
          <w:color w:val="008C8C"/>
          <w:sz w:val="16"/>
        </w:rPr>
        <w:t>PAGE 5 • INITIAL-PLAN REVENUE HEATMAP</w:t>
      </w:r>
    </w:p>
    <w:p>
      <w:pPr>
        <w:keepNext/>
        <w:spacing w:after="30"/>
      </w:pPr>
      <w:r>
        <w:rPr>
          <w:rFonts w:ascii="Arial" w:hAnsi="Arial"/>
          <w:b/>
          <w:i w:val="0"/>
          <w:color w:val="102A43"/>
          <w:sz w:val="40"/>
        </w:rPr>
        <w:t>Business has the highest cumulative revenue per revenue company—but limited scale</w:t>
      </w:r>
    </w:p>
    <w:p>
      <w:pPr>
        <w:spacing w:after="120"/>
      </w:pPr>
      <w:r>
        <w:rPr>
          <w:rFonts w:ascii="Arial" w:hAnsi="Arial"/>
          <w:b w:val="0"/>
          <w:i w:val="0"/>
          <w:color w:val="5E6C76"/>
          <w:sz w:val="17"/>
        </w:rPr>
        <w:t>Simple raw-data view • Initial plan, not necessarily current plan • May excluded</w:t>
      </w:r>
    </w:p>
    <w:p>
      <w:pPr>
        <w:spacing w:before="40" w:after="80"/>
        <w:jc w:val="center"/>
      </w:pPr>
      <w:r>
        <w:drawing>
          <wp:inline xmlns:a="http://schemas.openxmlformats.org/drawingml/2006/main" xmlns:pic="http://schemas.openxmlformats.org/drawingml/2006/picture">
            <wp:extent cx="6083999" cy="2588762"/>
            <wp:docPr id="4" name="Picture 4"/>
            <wp:cNvGraphicFramePr>
              <a:graphicFrameLocks noChangeAspect="1"/>
            </wp:cNvGraphicFramePr>
            <a:graphic>
              <a:graphicData uri="http://schemas.openxmlformats.org/drawingml/2006/picture">
                <pic:pic>
                  <pic:nvPicPr>
                    <pic:cNvPr id="0" name="simple_raw_plan_revenue_per_company_heatmap.png"/>
                    <pic:cNvPicPr/>
                  </pic:nvPicPr>
                  <pic:blipFill>
                    <a:blip r:embed="rId13"/>
                    <a:stretch>
                      <a:fillRect/>
                    </a:stretch>
                  </pic:blipFill>
                  <pic:spPr>
                    <a:xfrm>
                      <a:off x="0" y="0"/>
                      <a:ext cx="6083999" cy="2588762"/>
                    </a:xfrm>
                    <a:prstGeom prst="rect"/>
                  </pic:spPr>
                </pic:pic>
              </a:graphicData>
            </a:graphic>
          </wp:inline>
        </w:drawing>
      </w:r>
    </w:p>
    <w:tbl>
      <w:tblPr>
        <w:tblW w:type="auto" w:w="0"/>
        <w:tblLayout w:type="fixed"/>
        <w:tblLook w:firstColumn="1" w:firstRow="1" w:lastColumn="0" w:lastRow="0" w:noHBand="0" w:noVBand="1" w:val="04A0"/>
        <w:tblBorders>
          <w:top w:val="single" w:sz="7" w:color="FFFFFF"/>
          <w:left w:val="single" w:sz="7" w:color="FFFFFF"/>
          <w:bottom w:val="single" w:sz="7" w:color="FFFFFF"/>
          <w:right w:val="single" w:sz="7" w:color="FFFFFF"/>
          <w:insideH w:val="single" w:sz="7" w:color="FFFFFF"/>
          <w:insideV w:val="single" w:sz="7" w:color="FFFFFF"/>
        </w:tblBorders>
      </w:tblPr>
      <w:tblGrid>
        <w:gridCol w:w="5159"/>
        <w:gridCol w:w="5159"/>
      </w:tblGrid>
      <w:tr>
        <w:tc>
          <w:tcPr>
            <w:tcW w:type="dxa" w:w="5244"/>
            <w:tcMar>
              <w:top w:w="90" w:type="dxa"/>
              <w:start w:w="105" w:type="dxa"/>
              <w:bottom w:w="90" w:type="dxa"/>
              <w:end w:w="105" w:type="dxa"/>
            </w:tcMar>
            <w:shd w:fill="EAF4F4"/>
          </w:tcPr>
          <w:p>
            <w:pPr>
              <w:spacing w:after="40" w:line="240" w:lineRule="auto"/>
            </w:pPr>
            <w:r>
              <w:rPr>
                <w:rFonts w:ascii="Arial" w:hAnsi="Arial"/>
                <w:b/>
                <w:i w:val="0"/>
                <w:color w:val="008C8C"/>
                <w:sz w:val="17"/>
              </w:rPr>
              <w:t>How to read it</w:t>
            </w:r>
          </w:p>
          <w:p>
            <w:pPr>
              <w:spacing w:after="40" w:line="240" w:lineRule="auto"/>
            </w:pPr>
            <w:r>
              <w:rPr>
                <w:rFonts w:ascii="Arial" w:hAnsi="Arial"/>
                <w:b w:val="0"/>
                <w:i w:val="0"/>
                <w:color w:val="17212B"/>
                <w:sz w:val="15"/>
              </w:rPr>
              <w:t>Each coloured cell is cumulative component revenue divided by distinct revenue companies in that initial plan. The neutral Total column sums the four components and sets the descending row order.</w:t>
            </w:r>
          </w:p>
          <w:p>
            <w:pPr>
              <w:spacing w:after="0" w:line="240" w:lineRule="auto"/>
            </w:pPr>
            <w:r>
              <w:rPr>
                <w:rFonts w:ascii="Arial" w:hAnsi="Arial"/>
                <w:b w:val="0"/>
                <w:i w:val="0"/>
                <w:color w:val="17212B"/>
                <w:sz w:val="15"/>
              </w:rPr>
              <w:t>Total is excluded from the colour scale. Company count (n) provides the scale check: a high per-company value in a small group is not automatically the largest opportunity.</w:t>
            </w:r>
          </w:p>
        </w:tc>
        <w:tc>
          <w:tcPr>
            <w:tcW w:type="dxa" w:w="5244"/>
            <w:tcMar>
              <w:top w:w="90" w:type="dxa"/>
              <w:start w:w="105" w:type="dxa"/>
              <w:bottom w:w="90" w:type="dxa"/>
              <w:end w:w="105" w:type="dxa"/>
            </w:tcMar>
            <w:shd w:fill="F3F5F7"/>
          </w:tcPr>
          <w:p>
            <w:pPr>
              <w:spacing w:after="40" w:line="240" w:lineRule="auto"/>
            </w:pPr>
            <w:r>
              <w:rPr>
                <w:rFonts w:ascii="Arial" w:hAnsi="Arial"/>
                <w:b/>
                <w:i w:val="0"/>
                <w:color w:val="C95C3D"/>
                <w:sz w:val="17"/>
              </w:rPr>
              <w:t>Limitations</w:t>
            </w:r>
          </w:p>
          <w:p>
            <w:pPr>
              <w:spacing w:after="40" w:line="240" w:lineRule="auto"/>
            </w:pPr>
            <w:r>
              <w:rPr>
                <w:rFonts w:ascii="Arial" w:hAnsi="Arial"/>
                <w:b w:val="0"/>
                <w:i w:val="0"/>
                <w:color w:val="17212B"/>
                <w:sz w:val="15"/>
              </w:rPr>
              <w:t>The field records the initial subscription group and may not represent the current plan. Differences may reflect company age, selection, size, or behaviour—not a causal effect of the plan.</w:t>
            </w:r>
          </w:p>
          <w:p>
            <w:pPr>
              <w:spacing w:after="0" w:line="240" w:lineRule="auto"/>
            </w:pPr>
            <w:r>
              <w:rPr>
                <w:rFonts w:ascii="Arial" w:hAnsi="Arial"/>
                <w:b w:val="0"/>
                <w:i w:val="0"/>
                <w:color w:val="17212B"/>
                <w:sz w:val="15"/>
              </w:rPr>
              <w:t>Values are cumulative, so older companies have more exposure. The inner join also excludes companies with no revenue row. This cannot justify an upsell without current-plan, migration, margin, and experiment data.</w:t>
            </w:r>
          </w:p>
        </w:tc>
      </w:tr>
    </w:tbl>
    <w:p>
      <w:pPr>
        <w:spacing w:before="80" w:after="0"/>
      </w:pPr>
      <w:r>
        <w:rPr>
          <w:rFonts w:ascii="Arial" w:hAnsi="Arial"/>
          <w:b/>
          <w:i w:val="0"/>
          <w:color w:val="008C8C"/>
          <w:sz w:val="15"/>
        </w:rPr>
        <w:t xml:space="preserve">Reproducible SQL: </w:t>
      </w:r>
      <w:r>
        <w:rPr>
          <w:rFonts w:ascii="Arial" w:hAnsi="Arial"/>
          <w:b w:val="0"/>
          <w:i w:val="0"/>
          <w:color w:val="17212B"/>
          <w:sz w:val="15"/>
        </w:rPr>
        <w:t>Query 10 in sql/simple_raw_memo_queries.sql</w:t>
      </w:r>
    </w:p>
    <w:p>
      <w:r>
        <w:br w:type="page"/>
      </w:r>
    </w:p>
    <w:p>
      <w:pPr>
        <w:spacing w:after="20"/>
      </w:pPr>
      <w:r>
        <w:rPr>
          <w:rFonts w:ascii="Arial" w:hAnsi="Arial"/>
          <w:b/>
          <w:i w:val="0"/>
          <w:color w:val="008C8C"/>
          <w:sz w:val="16"/>
        </w:rPr>
        <w:t>PAGE 6 • REVENUE-BASED ACCOUNT HEALTH</w:t>
      </w:r>
    </w:p>
    <w:p>
      <w:pPr>
        <w:keepNext/>
        <w:spacing w:after="30"/>
      </w:pPr>
      <w:r>
        <w:rPr>
          <w:rFonts w:ascii="Arial" w:hAnsi="Arial"/>
          <w:b/>
          <w:i w:val="0"/>
          <w:color w:val="102A43"/>
          <w:sz w:val="40"/>
        </w:rPr>
        <w:t>Health is broadly stable, but Business and several personas show fragility</w:t>
      </w:r>
    </w:p>
    <w:p>
      <w:pPr>
        <w:spacing w:after="120"/>
      </w:pPr>
      <w:r>
        <w:rPr>
          <w:rFonts w:ascii="Arial" w:hAnsi="Arial"/>
          <w:b w:val="0"/>
          <w:i w:val="0"/>
          <w:color w:val="5E6C76"/>
          <w:sz w:val="17"/>
        </w:rPr>
        <w:t>Advanced method • Inputs limited to companies + revenue_with_total • May excluded</w:t>
      </w:r>
    </w:p>
    <w:tbl>
      <w:tblPr>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622"/>
        <w:gridCol w:w="2622"/>
        <w:gridCol w:w="2622"/>
        <w:gridCol w:w="2622"/>
      </w:tblGrid>
      <w:tr>
        <w:tc>
          <w:tcPr>
            <w:tcW w:type="dxa" w:w="2622"/>
            <w:shd w:fill="F3F5F7"/>
            <w:tcMar>
              <w:top w:w="90" w:type="dxa"/>
              <w:start w:w="65" w:type="dxa"/>
              <w:bottom w:w="90" w:type="dxa"/>
              <w:end w:w="65" w:type="dxa"/>
            </w:tcMar>
            <w:vAlign w:val="center"/>
          </w:tcPr>
          <w:p>
            <w:pPr>
              <w:spacing w:after="0"/>
              <w:jc w:val="center"/>
            </w:pPr>
            <w:r>
              <w:rPr>
                <w:rFonts w:ascii="Arial" w:hAnsi="Arial"/>
                <w:b/>
                <w:i w:val="0"/>
                <w:color w:val="008C8C"/>
                <w:sz w:val="30"/>
              </w:rPr>
              <w:t>74.7%</w:t>
            </w:r>
          </w:p>
          <w:p>
            <w:pPr>
              <w:spacing w:after="0"/>
              <w:jc w:val="center"/>
            </w:pPr>
            <w:r>
              <w:rPr>
                <w:rFonts w:ascii="Arial" w:hAnsi="Arial"/>
                <w:b w:val="0"/>
                <w:i w:val="0"/>
                <w:color w:val="5E6C76"/>
                <w:sz w:val="15"/>
              </w:rPr>
              <w:t>Healthy in April</w:t>
            </w:r>
          </w:p>
        </w:tc>
        <w:tc>
          <w:tcPr>
            <w:tcW w:type="dxa" w:w="2622"/>
            <w:shd w:fill="EAF4F4"/>
            <w:tcMar>
              <w:top w:w="90" w:type="dxa"/>
              <w:start w:w="65" w:type="dxa"/>
              <w:bottom w:w="90" w:type="dxa"/>
              <w:end w:w="65" w:type="dxa"/>
            </w:tcMar>
            <w:vAlign w:val="center"/>
          </w:tcPr>
          <w:p>
            <w:pPr>
              <w:spacing w:after="0"/>
              <w:jc w:val="center"/>
            </w:pPr>
            <w:r>
              <w:rPr>
                <w:rFonts w:ascii="Arial" w:hAnsi="Arial"/>
                <w:b/>
                <w:i w:val="0"/>
                <w:color w:val="008C8C"/>
                <w:sz w:val="30"/>
              </w:rPr>
              <w:t>10.6%</w:t>
            </w:r>
          </w:p>
          <w:p>
            <w:pPr>
              <w:spacing w:after="0"/>
              <w:jc w:val="center"/>
            </w:pPr>
            <w:r>
              <w:rPr>
                <w:rFonts w:ascii="Arial" w:hAnsi="Arial"/>
                <w:b w:val="0"/>
                <w:i w:val="0"/>
                <w:color w:val="5E6C76"/>
                <w:sz w:val="15"/>
              </w:rPr>
              <w:t>Watch in April</w:t>
            </w:r>
          </w:p>
        </w:tc>
        <w:tc>
          <w:tcPr>
            <w:tcW w:type="dxa" w:w="2622"/>
            <w:shd w:fill="F3F5F7"/>
            <w:tcMar>
              <w:top w:w="90" w:type="dxa"/>
              <w:start w:w="65" w:type="dxa"/>
              <w:bottom w:w="90" w:type="dxa"/>
              <w:end w:w="65" w:type="dxa"/>
            </w:tcMar>
            <w:vAlign w:val="center"/>
          </w:tcPr>
          <w:p>
            <w:pPr>
              <w:spacing w:after="0"/>
              <w:jc w:val="center"/>
            </w:pPr>
            <w:r>
              <w:rPr>
                <w:rFonts w:ascii="Arial" w:hAnsi="Arial"/>
                <w:b/>
                <w:i w:val="0"/>
                <w:color w:val="008C8C"/>
                <w:sz w:val="30"/>
              </w:rPr>
              <w:t>12.9%</w:t>
            </w:r>
          </w:p>
          <w:p>
            <w:pPr>
              <w:spacing w:after="0"/>
              <w:jc w:val="center"/>
            </w:pPr>
            <w:r>
              <w:rPr>
                <w:rFonts w:ascii="Arial" w:hAnsi="Arial"/>
                <w:b w:val="0"/>
                <w:i w:val="0"/>
                <w:color w:val="5E6C76"/>
                <w:sz w:val="15"/>
              </w:rPr>
              <w:t>At-risk + churn proxy</w:t>
            </w:r>
          </w:p>
        </w:tc>
        <w:tc>
          <w:tcPr>
            <w:tcW w:type="dxa" w:w="2622"/>
            <w:shd w:fill="EAF4F4"/>
            <w:tcMar>
              <w:top w:w="90" w:type="dxa"/>
              <w:start w:w="65" w:type="dxa"/>
              <w:bottom w:w="90" w:type="dxa"/>
              <w:end w:w="65" w:type="dxa"/>
            </w:tcMar>
            <w:vAlign w:val="center"/>
          </w:tcPr>
          <w:p>
            <w:pPr>
              <w:spacing w:after="0"/>
              <w:jc w:val="center"/>
            </w:pPr>
            <w:r>
              <w:rPr>
                <w:rFonts w:ascii="Arial" w:hAnsi="Arial"/>
                <w:b/>
                <w:i w:val="0"/>
                <w:color w:val="008C8C"/>
                <w:sz w:val="30"/>
              </w:rPr>
              <w:t>6,337</w:t>
            </w:r>
          </w:p>
          <w:p>
            <w:pPr>
              <w:spacing w:after="0"/>
              <w:jc w:val="center"/>
            </w:pPr>
            <w:r>
              <w:rPr>
                <w:rFonts w:ascii="Arial" w:hAnsi="Arial"/>
                <w:b w:val="0"/>
                <w:i w:val="0"/>
                <w:color w:val="5E6C76"/>
                <w:sz w:val="15"/>
              </w:rPr>
              <w:t>comparable mature companies</w:t>
            </w:r>
          </w:p>
        </w:tc>
      </w:tr>
    </w:tbl>
    <w:p>
      <w:pPr>
        <w:spacing w:before="60" w:after="40"/>
        <w:jc w:val="center"/>
      </w:pPr>
      <w:r>
        <w:drawing>
          <wp:inline xmlns:a="http://schemas.openxmlformats.org/drawingml/2006/main" xmlns:pic="http://schemas.openxmlformats.org/drawingml/2006/picture">
            <wp:extent cx="6300000" cy="4342614"/>
            <wp:docPr id="5" name="Picture 5"/>
            <wp:cNvGraphicFramePr>
              <a:graphicFrameLocks noChangeAspect="1"/>
            </wp:cNvGraphicFramePr>
            <a:graphic>
              <a:graphicData uri="http://schemas.openxmlformats.org/drawingml/2006/picture">
                <pic:pic>
                  <pic:nvPicPr>
                    <pic:cNvPr id="0" name="raw_two_table_health_full_period.png"/>
                    <pic:cNvPicPr/>
                  </pic:nvPicPr>
                  <pic:blipFill>
                    <a:blip r:embed="rId14"/>
                    <a:stretch>
                      <a:fillRect/>
                    </a:stretch>
                  </pic:blipFill>
                  <pic:spPr>
                    <a:xfrm>
                      <a:off x="0" y="0"/>
                      <a:ext cx="6300000" cy="4342614"/>
                    </a:xfrm>
                    <a:prstGeom prst="rect"/>
                  </pic:spPr>
                </pic:pic>
              </a:graphicData>
            </a:graphic>
          </wp:inline>
        </w:drawing>
      </w:r>
    </w:p>
    <w:tbl>
      <w:tblPr>
        <w:tblW w:type="auto" w:w="0"/>
        <w:tblLayout w:type="fixed"/>
        <w:tblLook w:firstColumn="1" w:firstRow="1" w:lastColumn="0" w:lastRow="0" w:noHBand="0" w:noVBand="1" w:val="04A0"/>
        <w:tblBorders>
          <w:top w:val="single" w:sz="7" w:color="FFFFFF"/>
          <w:left w:val="single" w:sz="7" w:color="FFFFFF"/>
          <w:bottom w:val="single" w:sz="7" w:color="FFFFFF"/>
          <w:right w:val="single" w:sz="7" w:color="FFFFFF"/>
          <w:insideH w:val="single" w:sz="7" w:color="FFFFFF"/>
          <w:insideV w:val="single" w:sz="7" w:color="FFFFFF"/>
        </w:tblBorders>
      </w:tblPr>
      <w:tblGrid>
        <w:gridCol w:w="5159"/>
        <w:gridCol w:w="5159"/>
      </w:tblGrid>
      <w:tr>
        <w:tc>
          <w:tcPr>
            <w:tcW w:type="dxa" w:w="5244"/>
            <w:tcMar>
              <w:top w:w="78" w:type="dxa"/>
              <w:start w:w="100" w:type="dxa"/>
              <w:bottom w:w="78" w:type="dxa"/>
              <w:end w:w="100" w:type="dxa"/>
            </w:tcMar>
            <w:shd w:fill="EAF4F4"/>
          </w:tcPr>
          <w:p>
            <w:pPr>
              <w:spacing w:after="40" w:line="240" w:lineRule="auto"/>
            </w:pPr>
            <w:r>
              <w:rPr>
                <w:rFonts w:ascii="Arial" w:hAnsi="Arial"/>
                <w:b/>
                <w:i w:val="0"/>
                <w:color w:val="008C8C"/>
                <w:sz w:val="16"/>
              </w:rPr>
              <w:t>Definitions</w:t>
            </w:r>
          </w:p>
          <w:p>
            <w:pPr>
              <w:spacing w:after="40" w:line="240" w:lineRule="auto"/>
            </w:pPr>
            <w:r>
              <w:rPr>
                <w:rFonts w:ascii="Arial" w:hAnsi="Arial"/>
                <w:b w:val="0"/>
                <w:i w:val="0"/>
                <w:color w:val="17212B"/>
                <w:sz w:val="14"/>
              </w:rPr>
              <w:t>Healthy: revenue-active, no earlier observed revenue gap, and no material decline. Watch: still active, but at least 30% and €10 below the prior three-month median.</w:t>
            </w:r>
          </w:p>
          <w:p>
            <w:pPr>
              <w:spacing w:after="0" w:line="240" w:lineRule="auto"/>
            </w:pPr>
            <w:r>
              <w:rPr>
                <w:rFonts w:ascii="Arial" w:hAnsi="Arial"/>
                <w:b w:val="0"/>
                <w:i w:val="0"/>
                <w:color w:val="17212B"/>
                <w:sz w:val="14"/>
              </w:rPr>
              <w:t>Recovered: active after an observed gap. At-risk: absent for 1–2 months. Churned proxy: absent for 3+ months. Never monetized: no revenue observed to date.</w:t>
            </w:r>
          </w:p>
        </w:tc>
        <w:tc>
          <w:tcPr>
            <w:tcW w:type="dxa" w:w="5244"/>
            <w:tcMar>
              <w:top w:w="78" w:type="dxa"/>
              <w:start w:w="100" w:type="dxa"/>
              <w:bottom w:w="78" w:type="dxa"/>
              <w:end w:w="100" w:type="dxa"/>
            </w:tcMar>
            <w:shd w:fill="F3F5F7"/>
          </w:tcPr>
          <w:p>
            <w:pPr>
              <w:spacing w:after="40" w:line="240" w:lineRule="auto"/>
            </w:pPr>
            <w:r>
              <w:rPr>
                <w:rFonts w:ascii="Arial" w:hAnsi="Arial"/>
                <w:b/>
                <w:i w:val="0"/>
                <w:color w:val="C95C3D"/>
                <w:sz w:val="16"/>
              </w:rPr>
              <w:t>Interpretation limits</w:t>
            </w:r>
          </w:p>
          <w:p>
            <w:pPr>
              <w:spacing w:after="40" w:line="240" w:lineRule="auto"/>
            </w:pPr>
            <w:r>
              <w:rPr>
                <w:rFonts w:ascii="Arial" w:hAnsi="Arial"/>
                <w:b w:val="0"/>
                <w:i w:val="0"/>
                <w:color w:val="17212B"/>
                <w:sz w:val="14"/>
              </w:rPr>
              <w:t>This is revenue health—not product use, satisfaction, profitability, account status, or confirmed cancellation. A missing row is assumed to mean no observed revenue and must be validated.</w:t>
            </w:r>
          </w:p>
          <w:p>
            <w:pPr>
              <w:spacing w:after="0" w:line="240" w:lineRule="auto"/>
            </w:pPr>
            <w:r>
              <w:rPr>
                <w:rFonts w:ascii="Arial" w:hAnsi="Arial"/>
                <w:b w:val="0"/>
                <w:i w:val="0"/>
                <w:color w:val="17212B"/>
                <w:sz w:val="14"/>
              </w:rPr>
              <w:t>Only February–April have three complete post-activation baseline months. The trend uses a fixed October cohort; the April cuts use all mature cohorts. Activation-month exposure is partial and initial plan may not be current.</w:t>
            </w:r>
          </w:p>
        </w:tc>
      </w:tr>
    </w:tbl>
    <w:p>
      <w:pPr>
        <w:spacing w:before="60" w:after="0"/>
      </w:pPr>
      <w:r>
        <w:rPr>
          <w:rFonts w:ascii="Arial" w:hAnsi="Arial"/>
          <w:b/>
          <w:i w:val="0"/>
          <w:color w:val="008C8C"/>
          <w:sz w:val="15"/>
        </w:rPr>
        <w:t xml:space="preserve">Self-contained SQL: </w:t>
      </w:r>
      <w:r>
        <w:rPr>
          <w:rFonts w:ascii="Arial" w:hAnsi="Arial"/>
          <w:b w:val="0"/>
          <w:i w:val="0"/>
          <w:color w:val="17212B"/>
          <w:sz w:val="15"/>
        </w:rPr>
        <w:t>sql/raw_two_table_health_analysis.sql — reads only companies and revenue_with_total</w:t>
      </w:r>
    </w:p>
    <w:sectPr w:rsidR="00FC693F" w:rsidRPr="0006063C" w:rsidSect="00034616">
      <w:footerReference w:type="default" r:id="rId9"/>
      <w:pgSz w:w="11906" w:h="16838"/>
      <w:pgMar w:top="652" w:right="709" w:bottom="595" w:left="709" w:header="227" w:footer="25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i w:val="0"/>
        <w:color w:val="5E6C76"/>
        <w:sz w:val="14"/>
      </w:rPr>
      <w:t xml:space="preserve">SHINE CASE  •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5" w:lineRule="auto"/>
    </w:pPr>
    <w:rPr>
      <w:rFonts w:ascii="Arial" w:hAnsi="Arial"/>
      <w:color w:val="17212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17"/>
    </w:rPr>
  </w:style>
  <w:style w:type="paragraph" w:styleId="ListBullet2">
    <w:name w:val="List Bullet 2"/>
    <w:basedOn w:val="Normal"/>
    <w:uiPriority w:val="99"/>
    <w:unhideWhenUsed/>
    <w:rsid w:val="00326F90"/>
    <w:pPr>
      <w:numPr>
        <w:numId w:val="2"/>
      </w:numPr>
      <w:contextualSpacing/>
    </w:pPr>
    <w:rPr>
      <w:rFonts w:ascii="Arial" w:hAnsi="Arial"/>
      <w:sz w:val="17"/>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Shine — Simple raw-data revenue memo</dc:title>
  <dc:subject>Simple memo using base tables and straightforward SQL</dc:subject>
  <dc:creator>Candidate analysis</dc:creator>
  <cp:keywords/>
  <dc:description>generated by python-docx</dc:description>
  <cp:lastModifiedBy/>
  <cp:revision>1</cp:revision>
  <dcterms:created xsi:type="dcterms:W3CDTF">2013-12-23T23:15:00Z</dcterms:created>
  <dcterms:modified xsi:type="dcterms:W3CDTF">2013-12-23T23:15:00Z</dcterms:modified>
  <cp:category/>
</cp:coreProperties>
</file>