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</w:pPr>
      <w:r>
        <w:rPr>
          <w:rFonts w:ascii="Arial" w:hAnsi="Arial"/>
          <w:b/>
          <w:i w:val="0"/>
          <w:color w:val="008C8C"/>
          <w:sz w:val="16"/>
        </w:rPr>
        <w:t>PAGE 1 • POSITION AND MAGNITUDE</w:t>
      </w:r>
    </w:p>
    <w:p>
      <w:pPr>
        <w:keepNext/>
        <w:spacing w:after="30"/>
      </w:pPr>
      <w:r>
        <w:rPr>
          <w:rFonts w:ascii="Arial" w:hAnsi="Arial"/>
          <w:b/>
          <w:i w:val="0"/>
          <w:color w:val="102A43"/>
          <w:sz w:val="40"/>
        </w:rPr>
        <w:t>Segment rankings point to BTP and Plus—not one universal winner</w:t>
      </w:r>
    </w:p>
    <w:p>
      <w:pPr>
        <w:spacing w:after="120"/>
      </w:pPr>
      <w:r>
        <w:rPr>
          <w:rFonts w:ascii="Arial" w:hAnsi="Arial"/>
          <w:b w:val="0"/>
          <w:i w:val="0"/>
          <w:color w:val="5E6C76"/>
          <w:sz w:val="17"/>
        </w:rPr>
        <w:t>Confirmed analysis through April 2026 • May excluded because signup coverage is truncated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545"/>
      </w:tblGrid>
      <w:tr>
        <w:tc>
          <w:tcPr>
            <w:tcW w:type="dxa" w:w="10488"/>
            <w:shd w:fill="102A43"/>
            <w:tcMar>
              <w:top w:w="145" w:type="dxa"/>
              <w:start w:w="180" w:type="dxa"/>
              <w:bottom w:w="145" w:type="dxa"/>
              <w:end w:w="180" w:type="dxa"/>
            </w:tcMar>
          </w:tcPr>
          <w:p>
            <w:pPr>
              <w:spacing w:after="0" w:line="247" w:lineRule="auto"/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22"/>
              </w:rPr>
              <w:t>Across the first three complete calendar months after activation, the highest-revenue 20% of companies generate 70% of revenue. BTP contributes 30% of that value and is the clearest scalable opportunity.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FFFFFF"/>
          <w:left w:val="single" w:sz="8" w:color="FFFFFF"/>
          <w:bottom w:val="single" w:sz="8" w:color="FFFFFF"/>
          <w:right w:val="single" w:sz="8" w:color="FFFFFF"/>
          <w:insideH w:val="single" w:sz="8" w:color="FFFFFF"/>
          <w:insideV w:val="single" w:sz="8" w:color="FFFFFF"/>
        </w:tblBorders>
      </w:tblPr>
      <w:tblGrid>
        <w:gridCol w:w="2622"/>
        <w:gridCol w:w="2622"/>
        <w:gridCol w:w="2622"/>
        <w:gridCol w:w="2622"/>
      </w:tblGrid>
      <w:tr>
        <w:tc>
          <w:tcPr>
            <w:tcW w:type="dxa" w:w="2622"/>
            <w:shd w:fill="F3F5F7"/>
            <w:tcMar>
              <w:top w:w="90" w:type="dxa"/>
              <w:start w:w="65" w:type="dxa"/>
              <w:bottom w:w="90" w:type="dxa"/>
              <w:end w:w="6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008C8C"/>
                <w:sz w:val="30"/>
              </w:rPr>
              <w:t>20%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5E6C76"/>
                <w:sz w:val="15"/>
              </w:rPr>
              <w:t>highest-revenue companies</w:t>
            </w:r>
          </w:p>
        </w:tc>
        <w:tc>
          <w:tcPr>
            <w:tcW w:type="dxa" w:w="2622"/>
            <w:shd w:fill="EAF4F4"/>
            <w:tcMar>
              <w:top w:w="90" w:type="dxa"/>
              <w:start w:w="65" w:type="dxa"/>
              <w:bottom w:w="90" w:type="dxa"/>
              <w:end w:w="6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008C8C"/>
                <w:sz w:val="30"/>
              </w:rPr>
              <w:t>70.2%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5E6C76"/>
                <w:sz w:val="15"/>
              </w:rPr>
              <w:t>revenue in 3 complete months</w:t>
            </w:r>
          </w:p>
        </w:tc>
        <w:tc>
          <w:tcPr>
            <w:tcW w:type="dxa" w:w="2622"/>
            <w:shd w:fill="F3F5F7"/>
            <w:tcMar>
              <w:top w:w="90" w:type="dxa"/>
              <w:start w:w="65" w:type="dxa"/>
              <w:bottom w:w="90" w:type="dxa"/>
              <w:end w:w="6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008C8C"/>
                <w:sz w:val="30"/>
              </w:rPr>
              <w:t>30.3%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5E6C76"/>
                <w:sz w:val="15"/>
              </w:rPr>
              <w:t>high-value revenue from BTP</w:t>
            </w:r>
          </w:p>
        </w:tc>
        <w:tc>
          <w:tcPr>
            <w:tcW w:type="dxa" w:w="2622"/>
            <w:shd w:fill="EAF4F4"/>
            <w:tcMar>
              <w:top w:w="90" w:type="dxa"/>
              <w:start w:w="65" w:type="dxa"/>
              <w:bottom w:w="90" w:type="dxa"/>
              <w:end w:w="65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008C8C"/>
                <w:sz w:val="30"/>
              </w:rPr>
              <w:t>2.18×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5E6C76"/>
                <w:sz w:val="15"/>
              </w:rPr>
              <w:t>Plus representation in high value</w:t>
            </w:r>
          </w:p>
        </w:tc>
      </w:tr>
    </w:tbl>
    <w:p>
      <w:pPr>
        <w:spacing w:before="60" w:after="20"/>
        <w:jc w:val="center"/>
      </w:pPr>
      <w:r>
        <w:drawing>
          <wp:inline xmlns:a="http://schemas.openxmlformats.org/drawingml/2006/main" xmlns:pic="http://schemas.openxmlformats.org/drawingml/2006/picture">
            <wp:extent cx="6372000" cy="19616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gment_opportunity_ranking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72000" cy="1961675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DE3E8"/>
          <w:left w:val="single" w:sz="4" w:color="DDE3E8"/>
          <w:bottom w:val="single" w:sz="4" w:color="DDE3E8"/>
          <w:right w:val="single" w:sz="4" w:color="DDE3E8"/>
          <w:insideH w:val="single" w:sz="4" w:color="DDE3E8"/>
          <w:insideV w:val="single" w:sz="4" w:color="DDE3E8"/>
        </w:tblBorders>
      </w:tblPr>
      <w:tblGrid>
        <w:gridCol w:w="10375"/>
      </w:tblGrid>
      <w:tr>
        <w:tc>
          <w:tcPr>
            <w:tcW w:type="dxa" w:w="10488"/>
            <w:tcMar>
              <w:top w:w="55" w:type="dxa"/>
              <w:start w:w="100" w:type="dxa"/>
              <w:bottom w:w="55" w:type="dxa"/>
              <w:end w:w="100" w:type="dxa"/>
            </w:tcMar>
            <w:shd w:fill="F3F5F7"/>
          </w:tcPr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i w:val="0"/>
                <w:color w:val="5E6C76"/>
                <w:sz w:val="14"/>
              </w:rPr>
              <w:t>Why this window: revenue is supplied only by calendar month. For a company activated late in month 0, the table cannot separate pre- and post-activation days. We therefore exclude month 0 and compare months 1-3, the first three complete calendar months. An exact 90-day window would require daily revenue.</w:t>
            </w:r>
          </w:p>
        </w:tc>
      </w:tr>
    </w:tbl>
    <w:p>
      <w:pPr>
        <w:keepNext/>
        <w:spacing w:before="40" w:after="60"/>
      </w:pPr>
      <w:r>
        <w:rPr>
          <w:rFonts w:ascii="Arial" w:hAnsi="Arial"/>
          <w:b/>
          <w:i w:val="0"/>
          <w:color w:val="102A43"/>
          <w:sz w:val="21"/>
        </w:rPr>
        <w:t>What the data shows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8" w:color="FFFFFF"/>
          <w:left w:val="single" w:sz="8" w:color="FFFFFF"/>
          <w:bottom w:val="single" w:sz="8" w:color="FFFFFF"/>
          <w:right w:val="single" w:sz="8" w:color="FFFFFF"/>
          <w:insideH w:val="single" w:sz="8" w:color="FFFFFF"/>
          <w:insideV w:val="single" w:sz="8" w:color="FFFFFF"/>
        </w:tblBorders>
      </w:tblPr>
      <w:tblGrid>
        <w:gridCol w:w="5187"/>
        <w:gridCol w:w="5187"/>
      </w:tblGrid>
      <w:tr>
        <w:tc>
          <w:tcPr>
            <w:tcW w:type="dxa" w:w="5244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  <w:shd w:fill="EAF4F4"/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008C8C"/>
                <w:sz w:val="15"/>
              </w:rPr>
              <w:t>OPPORTUNITY</w:t>
            </w:r>
          </w:p>
          <w:p>
            <w:pPr>
              <w:spacing w:after="40" w:line="240" w:lineRule="auto"/>
            </w:pPr>
            <w:r>
              <w:rPr>
                <w:rFonts w:ascii="Arial" w:hAnsi="Arial"/>
                <w:b/>
                <w:i w:val="0"/>
                <w:color w:val="17212B"/>
                <w:sz w:val="17"/>
              </w:rPr>
              <w:t>BTP leads scalable persona value: 30.28% of high-value revenue and 1.47× represented.</w:t>
            </w:r>
          </w:p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Plus combines scale with efficiency: 33.42% of high-value revenue and 2.18× represented.</w:t>
            </w:r>
          </w:p>
        </w:tc>
        <w:tc>
          <w:tcPr>
            <w:tcW w:type="dxa" w:w="5244"/>
            <w:tcMar>
              <w:top w:w="105" w:type="dxa"/>
              <w:start w:w="130" w:type="dxa"/>
              <w:bottom w:w="105" w:type="dxa"/>
              <w:end w:w="130" w:type="dxa"/>
            </w:tcMar>
            <w:vAlign w:val="center"/>
            <w:shd w:fill="F3F5F7"/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C95C3D"/>
                <w:sz w:val="15"/>
              </w:rPr>
              <w:t>RISK</w:t>
            </w:r>
          </w:p>
          <w:p>
            <w:pPr>
              <w:spacing w:after="40" w:line="240" w:lineRule="auto"/>
            </w:pPr>
            <w:r>
              <w:rPr>
                <w:rFonts w:ascii="Arial" w:hAnsi="Arial"/>
                <w:b/>
                <w:i w:val="0"/>
                <w:color w:val="17212B"/>
                <w:sz w:val="17"/>
              </w:rPr>
              <w:t>Business is 3.55× represented but has only 196 comparable companies.</w:t>
            </w:r>
          </w:p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Start contributes the most high-value revenue (39.70%) but is proportional at 0.97×; scale and efficiency are different.</w:t>
            </w:r>
          </w:p>
        </w:tc>
      </w:tr>
    </w:tbl>
    <w:p>
      <w:pPr>
        <w:keepNext/>
        <w:spacing w:before="60" w:after="60"/>
      </w:pPr>
      <w:r>
        <w:rPr>
          <w:rFonts w:ascii="Arial" w:hAnsi="Arial"/>
          <w:b/>
          <w:i w:val="0"/>
          <w:color w:val="102A43"/>
          <w:sz w:val="21"/>
        </w:rPr>
        <w:t>How to read the ranking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DE3E8"/>
          <w:left w:val="single" w:sz="4" w:color="DDE3E8"/>
          <w:bottom w:val="single" w:sz="4" w:color="DDE3E8"/>
          <w:right w:val="single" w:sz="4" w:color="DDE3E8"/>
          <w:insideH w:val="single" w:sz="4" w:color="DDE3E8"/>
          <w:insideV w:val="single" w:sz="4" w:color="DDE3E8"/>
        </w:tblBorders>
      </w:tblPr>
      <w:tblGrid>
        <w:gridCol w:w="5187"/>
        <w:gridCol w:w="5187"/>
      </w:tblGrid>
      <w:tr>
        <w:tc>
          <w:tcPr>
            <w:tcW w:type="dxa" w:w="5244"/>
            <w:tcMar>
              <w:top w:w="55" w:type="dxa"/>
              <w:start w:w="95" w:type="dxa"/>
              <w:bottom w:w="55" w:type="dxa"/>
              <w:end w:w="9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02A43"/>
                <w:sz w:val="15"/>
              </w:rPr>
              <w:t xml:space="preserve">Bar length: </w:t>
            </w:r>
            <w:r>
              <w:rPr>
                <w:rFonts w:ascii="Arial" w:hAnsi="Arial"/>
                <w:b w:val="0"/>
                <w:i w:val="0"/>
                <w:color w:val="5E6C76"/>
                <w:sz w:val="15"/>
              </w:rPr>
              <w:t>share of all high-value revenue; this captures absolute scale</w:t>
            </w:r>
          </w:p>
        </w:tc>
        <w:tc>
          <w:tcPr>
            <w:tcW w:type="dxa" w:w="5244"/>
            <w:tcMar>
              <w:top w:w="55" w:type="dxa"/>
              <w:start w:w="95" w:type="dxa"/>
              <w:bottom w:w="55" w:type="dxa"/>
              <w:end w:w="9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02A43"/>
                <w:sz w:val="15"/>
              </w:rPr>
              <w:t xml:space="preserve">Bar color: </w:t>
            </w:r>
            <w:r>
              <w:rPr>
                <w:rFonts w:ascii="Arial" w:hAnsi="Arial"/>
                <w:b w:val="0"/>
                <w:i w:val="0"/>
                <w:color w:val="5E6C76"/>
                <w:sz w:val="15"/>
              </w:rPr>
              <w:t>representation versus base; teal means at least 1.2×</w:t>
            </w:r>
          </w:p>
        </w:tc>
      </w:tr>
      <w:tr>
        <w:tc>
          <w:tcPr>
            <w:tcW w:type="dxa" w:w="5244"/>
            <w:tcMar>
              <w:top w:w="55" w:type="dxa"/>
              <w:start w:w="95" w:type="dxa"/>
              <w:bottom w:w="55" w:type="dxa"/>
              <w:end w:w="9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02A43"/>
                <w:sz w:val="15"/>
              </w:rPr>
              <w:t xml:space="preserve">N: </w:t>
            </w:r>
            <w:r>
              <w:rPr>
                <w:rFonts w:ascii="Arial" w:hAnsi="Arial"/>
                <w:b w:val="0"/>
                <w:i w:val="0"/>
                <w:color w:val="5E6C76"/>
                <w:sz w:val="15"/>
              </w:rPr>
              <w:t>eligible companies with three complete post-activation months</w:t>
            </w:r>
          </w:p>
        </w:tc>
        <w:tc>
          <w:tcPr>
            <w:tcW w:type="dxa" w:w="5244"/>
            <w:tcMar>
              <w:top w:w="55" w:type="dxa"/>
              <w:start w:w="95" w:type="dxa"/>
              <w:bottom w:w="55" w:type="dxa"/>
              <w:end w:w="95" w:type="dxa"/>
            </w:tcMar>
          </w:tcPr>
          <w:p>
            <w:pPr>
              <w:spacing w:after="0"/>
            </w:pPr>
            <w:r>
              <w:rPr>
                <w:rFonts w:ascii="Arial" w:hAnsi="Arial"/>
                <w:b/>
                <w:i w:val="0"/>
                <w:color w:val="102A43"/>
                <w:sz w:val="15"/>
              </w:rPr>
              <w:t xml:space="preserve">No composite score: </w:t>
            </w:r>
            <w:r>
              <w:rPr>
                <w:rFonts w:ascii="Arial" w:hAnsi="Arial"/>
                <w:b w:val="0"/>
                <w:i w:val="0"/>
                <w:color w:val="5E6C76"/>
                <w:sz w:val="15"/>
              </w:rPr>
              <w:t>leadership can see the scale-efficiency trade-off directly</w:t>
            </w:r>
          </w:p>
        </w:tc>
      </w:tr>
    </w:tbl>
    <w:p>
      <w:pPr>
        <w:spacing w:before="60" w:after="0"/>
      </w:pPr>
      <w:r>
        <w:rPr>
          <w:rFonts w:ascii="Arial" w:hAnsi="Arial"/>
          <w:b/>
          <w:i w:val="0"/>
          <w:color w:val="008C8C"/>
          <w:sz w:val="18"/>
        </w:rPr>
        <w:t xml:space="preserve">Decision: </w:t>
      </w:r>
      <w:r>
        <w:rPr>
          <w:rFonts w:ascii="Arial" w:hAnsi="Arial"/>
          <w:b w:val="0"/>
          <w:i w:val="0"/>
          <w:color w:val="17212B"/>
          <w:sz w:val="18"/>
        </w:rPr>
        <w:t>prioritize a controlled BTP adoption test, with Plus as the strongest plan signal. Do not mistake Business efficiency or Start scale for a complete recommendation on its own.</w:t>
      </w:r>
    </w:p>
    <w:p>
      <w:r>
        <w:br w:type="page"/>
      </w:r>
    </w:p>
    <w:p>
      <w:pPr>
        <w:spacing w:after="20"/>
      </w:pPr>
      <w:r>
        <w:rPr>
          <w:rFonts w:ascii="Arial" w:hAnsi="Arial"/>
          <w:b/>
          <w:i w:val="0"/>
          <w:color w:val="008C8C"/>
          <w:sz w:val="16"/>
        </w:rPr>
        <w:t>PAGE 2 • RANKED DECISIONS</w:t>
      </w:r>
    </w:p>
    <w:p>
      <w:pPr>
        <w:keepNext/>
        <w:spacing w:after="30"/>
      </w:pPr>
      <w:r>
        <w:rPr>
          <w:rFonts w:ascii="Arial" w:hAnsi="Arial"/>
          <w:b/>
          <w:i w:val="0"/>
          <w:color w:val="102A43"/>
          <w:sz w:val="40"/>
        </w:rPr>
        <w:t>Two initiatives, clearly weighted</w:t>
      </w:r>
    </w:p>
    <w:p>
      <w:pPr>
        <w:spacing w:after="120"/>
      </w:pPr>
      <w:r>
        <w:rPr>
          <w:rFonts w:ascii="Arial" w:hAnsi="Arial"/>
          <w:b w:val="0"/>
          <w:i w:val="0"/>
          <w:color w:val="5E6C76"/>
          <w:sz w:val="17"/>
        </w:rPr>
        <w:t>Ranked by observable scale, value concentration, health, and actionability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7" w:color="FFFFFF"/>
          <w:left w:val="single" w:sz="7" w:color="FFFFFF"/>
          <w:bottom w:val="single" w:sz="7" w:color="FFFFFF"/>
          <w:right w:val="single" w:sz="7" w:color="FFFFFF"/>
          <w:insideH w:val="single" w:sz="7" w:color="FFFFFF"/>
          <w:insideV w:val="single" w:sz="7" w:color="FFFFFF"/>
        </w:tblBorders>
      </w:tblPr>
      <w:tblGrid>
        <w:gridCol w:w="624"/>
        <w:gridCol w:w="2381"/>
        <w:gridCol w:w="4195"/>
        <w:gridCol w:w="3175"/>
      </w:tblGrid>
      <w:tr>
        <w:tc>
          <w:tcPr>
            <w:tcW w:type="dxa" w:w="2622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008C8C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32"/>
              </w:rPr>
              <w:t>1</w:t>
            </w:r>
          </w:p>
        </w:tc>
        <w:tc>
          <w:tcPr>
            <w:tcW w:type="dxa" w:w="2622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EAF4F4"/>
          </w:tcPr>
          <w:p>
            <w:pPr>
              <w:spacing w:after="40" w:line="240" w:lineRule="auto"/>
            </w:pPr>
            <w:r>
              <w:rPr>
                <w:rFonts w:ascii="Arial" w:hAnsi="Arial"/>
                <w:b/>
                <w:i w:val="0"/>
                <w:color w:val="102A43"/>
                <w:sz w:val="18"/>
              </w:rPr>
              <w:t>BTP adoption &amp; monetization experiment</w:t>
            </w:r>
          </w:p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i w:val="0"/>
                <w:color w:val="5E6C76"/>
                <w:sz w:val="15"/>
              </w:rPr>
              <w:t>Replicate the product behaviors associated with high value; do not assume plan upsell is the lever.</w:t>
            </w:r>
          </w:p>
        </w:tc>
        <w:tc>
          <w:tcPr>
            <w:tcW w:type="dxa" w:w="2622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008C8C"/>
                <w:sz w:val="15"/>
              </w:rPr>
              <w:t>OBSERVABLE MAGNITUDE</w:t>
            </w:r>
          </w:p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BTP contributes 30.28% of high-value revenue (N=1,642; 1.47×). In the mature BTP base (N=1,151), 71.07% are Healthy and 15.55% Watch.</w:t>
            </w:r>
          </w:p>
        </w:tc>
        <w:tc>
          <w:tcPr>
            <w:tcW w:type="dxa" w:w="2622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C95C3D"/>
                <w:sz w:val="15"/>
              </w:rPr>
              <w:t>LIMIT</w:t>
            </w:r>
          </w:p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No current plan, product-use, cost, or margin data. Uplift cannot be sized in euros before a causal test.</w:t>
            </w:r>
          </w:p>
        </w:tc>
      </w:tr>
    </w:tbl>
    <w:p>
      <w:pPr>
        <w:spacing w:after="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7" w:color="FFFFFF"/>
          <w:left w:val="single" w:sz="7" w:color="FFFFFF"/>
          <w:bottom w:val="single" w:sz="7" w:color="FFFFFF"/>
          <w:right w:val="single" w:sz="7" w:color="FFFFFF"/>
          <w:insideH w:val="single" w:sz="7" w:color="FFFFFF"/>
          <w:insideV w:val="single" w:sz="7" w:color="FFFFFF"/>
        </w:tblBorders>
      </w:tblPr>
      <w:tblGrid>
        <w:gridCol w:w="624"/>
        <w:gridCol w:w="2381"/>
        <w:gridCol w:w="4195"/>
        <w:gridCol w:w="3175"/>
      </w:tblGrid>
      <w:tr>
        <w:tc>
          <w:tcPr>
            <w:tcW w:type="dxa" w:w="2622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E9A23B"/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FFFFFF"/>
                <w:sz w:val="32"/>
              </w:rPr>
              <w:t>2</w:t>
            </w:r>
          </w:p>
        </w:tc>
        <w:tc>
          <w:tcPr>
            <w:tcW w:type="dxa" w:w="2622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F3F5F7"/>
          </w:tcPr>
          <w:p>
            <w:pPr>
              <w:spacing w:after="40" w:line="240" w:lineRule="auto"/>
            </w:pPr>
            <w:r>
              <w:rPr>
                <w:rFonts w:ascii="Arial" w:hAnsi="Arial"/>
                <w:b/>
                <w:i w:val="0"/>
                <w:color w:val="102A43"/>
                <w:sz w:val="18"/>
              </w:rPr>
              <w:t>Revenue-decline &amp; first-gap protection</w:t>
            </w:r>
          </w:p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i w:val="0"/>
                <w:color w:val="5E6C76"/>
                <w:sz w:val="15"/>
              </w:rPr>
              <w:t>Trigger diagnosis at a material revenue decline and support after the first missing month; monitor recoveries.</w:t>
            </w:r>
          </w:p>
        </w:tc>
        <w:tc>
          <w:tcPr>
            <w:tcW w:type="dxa" w:w="2622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008C8C"/>
                <w:sz w:val="15"/>
              </w:rPr>
              <w:t>OBSERVABLE MAGNITUDE</w:t>
            </w:r>
          </w:p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493 high-value accounts are Watch, with a €41.0k observed baseline-to-April gap. In the mature base, Business is only 46.15% Healthy and 43.36% inactive—but N=143.</w:t>
            </w:r>
          </w:p>
        </w:tc>
        <w:tc>
          <w:tcPr>
            <w:tcW w:type="dxa" w:w="2622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C95C3D"/>
                <w:sz w:val="15"/>
              </w:rPr>
              <w:t>LIMIT</w:t>
            </w:r>
          </w:p>
          <w:p>
            <w:pPr>
              <w:spacing w:after="4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6"/>
              </w:rPr>
              <w:t>The decline threshold is an analytical assumption, not causal loss. Product usage is missing, so diagnose the driver before outreach.</w:t>
            </w:r>
          </w:p>
        </w:tc>
      </w:tr>
    </w:tbl>
    <w:p>
      <w:pPr>
        <w:spacing w:after="0"/>
      </w:pPr>
    </w:p>
    <w:p>
      <w:pPr>
        <w:keepNext/>
        <w:spacing w:before="40" w:after="60"/>
      </w:pPr>
      <w:r>
        <w:rPr>
          <w:rFonts w:ascii="Arial" w:hAnsi="Arial"/>
          <w:b/>
          <w:i w:val="0"/>
          <w:color w:val="102A43"/>
          <w:sz w:val="21"/>
        </w:rPr>
        <w:t>Health by segment: activated by Dec 2025 (N=6,337)</w:t>
      </w:r>
    </w:p>
    <w:p>
      <w:pPr>
        <w:spacing w:after="2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9315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gment_health_stack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93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0" w:after="60"/>
      </w:pPr>
      <w:r>
        <w:rPr>
          <w:rFonts w:ascii="Arial" w:hAnsi="Arial"/>
          <w:b/>
          <w:i w:val="0"/>
          <w:color w:val="102A43"/>
          <w:sz w:val="21"/>
        </w:rPr>
        <w:t>Alternatives considered—and rejected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3" w:color="D8DEE3"/>
          <w:left w:val="single" w:sz="3" w:color="D8DEE3"/>
          <w:bottom w:val="single" w:sz="3" w:color="D8DEE3"/>
          <w:right w:val="single" w:sz="3" w:color="D8DEE3"/>
          <w:insideH w:val="single" w:sz="3" w:color="D8DEE3"/>
          <w:insideV w:val="single" w:sz="3" w:color="D8DEE3"/>
        </w:tblBorders>
      </w:tblPr>
      <w:tblGrid>
        <w:gridCol w:w="2268"/>
        <w:gridCol w:w="2324"/>
        <w:gridCol w:w="5783"/>
      </w:tblGrid>
      <w:tr>
        <w:trPr>
          <w:tblHeader w:val="true"/>
        </w:trPr>
        <w:tc>
          <w:tcPr>
            <w:tcW w:type="dxa" w:w="3496"/>
            <w:shd w:fill="102A4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Alternative</w:t>
            </w:r>
          </w:p>
        </w:tc>
        <w:tc>
          <w:tcPr>
            <w:tcW w:type="dxa" w:w="3496"/>
            <w:shd w:fill="102A4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Why attractive</w:t>
            </w:r>
          </w:p>
        </w:tc>
        <w:tc>
          <w:tcPr>
            <w:tcW w:type="dxa" w:w="3496"/>
            <w:shd w:fill="102A43"/>
            <w:tcMar>
              <w:top w:w="70" w:type="dxa"/>
              <w:start w:w="90" w:type="dxa"/>
              <w:bottom w:w="7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FFFFFF"/>
                <w:sz w:val="15"/>
              </w:rPr>
              <w:t>Why it loses now</w:t>
            </w:r>
          </w:p>
        </w:tc>
      </w:tr>
      <w:tr>
        <w:trPr>
          <w:cantSplit/>
        </w:trPr>
        <w:tc>
          <w:tcPr>
            <w:tcW w:type="dxa" w:w="2268"/>
            <w:tcMar>
              <w:top w:w="45" w:type="dxa"/>
              <w:start w:w="80" w:type="dxa"/>
              <w:bottom w:w="45" w:type="dxa"/>
              <w:end w:w="80" w:type="dxa"/>
            </w:tcMar>
            <w:shd w:fill="F3F5F7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102A43"/>
                <w:sz w:val="14"/>
              </w:rPr>
              <w:t>Acquire more Business</w:t>
            </w:r>
          </w:p>
        </w:tc>
        <w:tc>
          <w:tcPr>
            <w:tcW w:type="dxa" w:w="2324"/>
            <w:tcMar>
              <w:top w:w="45" w:type="dxa"/>
              <w:start w:w="80" w:type="dxa"/>
              <w:bottom w:w="45" w:type="dxa"/>
              <w:end w:w="80" w:type="dxa"/>
            </w:tcMar>
            <w:shd w:fill="F3F5F7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High revenue/company</w:t>
            </w:r>
          </w:p>
        </w:tc>
        <w:tc>
          <w:tcPr>
            <w:tcW w:type="dxa" w:w="5783"/>
            <w:tcMar>
              <w:top w:w="45" w:type="dxa"/>
              <w:start w:w="80" w:type="dxa"/>
              <w:bottom w:w="45" w:type="dxa"/>
              <w:end w:w="80" w:type="dxa"/>
            </w:tcMar>
            <w:shd w:fill="F3F5F7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Small base; 73.3% funnel dropout; weak continuity; no CAC or KYB-reason data.</w:t>
            </w:r>
          </w:p>
        </w:tc>
      </w:tr>
      <w:tr>
        <w:trPr>
          <w:cantSplit/>
        </w:trPr>
        <w:tc>
          <w:tcPr>
            <w:tcW w:type="dxa" w:w="2268"/>
            <w:tcMar>
              <w:top w:w="45" w:type="dxa"/>
              <w:start w:w="80" w:type="dxa"/>
              <w:bottom w:w="45" w:type="dxa"/>
              <w:end w:w="8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102A43"/>
                <w:sz w:val="14"/>
              </w:rPr>
              <w:t>Broad funnel overhaul</w:t>
            </w:r>
          </w:p>
        </w:tc>
        <w:tc>
          <w:tcPr>
            <w:tcW w:type="dxa" w:w="2324"/>
            <w:tcMar>
              <w:top w:w="45" w:type="dxa"/>
              <w:start w:w="80" w:type="dxa"/>
              <w:bottom w:w="45" w:type="dxa"/>
              <w:end w:w="8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62.9% 30-day dropout</w:t>
            </w:r>
          </w:p>
        </w:tc>
        <w:tc>
          <w:tcPr>
            <w:tcW w:type="dxa" w:w="5783"/>
            <w:tcMar>
              <w:top w:w="45" w:type="dxa"/>
              <w:start w:w="80" w:type="dxa"/>
              <w:bottom w:w="45" w:type="dxa"/>
              <w:end w:w="8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Cannot distinguish rejection, delay, abandonment, or extraction effects; no channel cost.</w:t>
            </w:r>
          </w:p>
        </w:tc>
      </w:tr>
      <w:tr>
        <w:trPr>
          <w:cantSplit/>
        </w:trPr>
        <w:tc>
          <w:tcPr>
            <w:tcW w:type="dxa" w:w="2268"/>
            <w:tcMar>
              <w:top w:w="45" w:type="dxa"/>
              <w:start w:w="80" w:type="dxa"/>
              <w:bottom w:w="45" w:type="dxa"/>
              <w:end w:w="80" w:type="dxa"/>
            </w:tcMar>
            <w:shd w:fill="F3F5F7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102A43"/>
                <w:sz w:val="14"/>
              </w:rPr>
              <w:t>Blanket churn campaign</w:t>
            </w:r>
          </w:p>
        </w:tc>
        <w:tc>
          <w:tcPr>
            <w:tcW w:type="dxa" w:w="2324"/>
            <w:tcMar>
              <w:top w:w="45" w:type="dxa"/>
              <w:start w:w="80" w:type="dxa"/>
              <w:bottom w:w="45" w:type="dxa"/>
              <w:end w:w="80" w:type="dxa"/>
            </w:tcMar>
            <w:shd w:fill="F3F5F7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Retention feels urgent</w:t>
            </w:r>
          </w:p>
        </w:tc>
        <w:tc>
          <w:tcPr>
            <w:tcW w:type="dxa" w:w="5783"/>
            <w:tcMar>
              <w:top w:w="45" w:type="dxa"/>
              <w:start w:w="80" w:type="dxa"/>
              <w:bottom w:w="45" w:type="dxa"/>
              <w:end w:w="80" w:type="dxa"/>
            </w:tcMar>
            <w:shd w:fill="F3F5F7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A decline is not churn; target the 493 Watch and 154 inactive accounts with distinct treatments.</w:t>
            </w:r>
          </w:p>
        </w:tc>
      </w:tr>
      <w:tr>
        <w:trPr>
          <w:cantSplit/>
        </w:trPr>
        <w:tc>
          <w:tcPr>
            <w:tcW w:type="dxa" w:w="2268"/>
            <w:tcMar>
              <w:top w:w="45" w:type="dxa"/>
              <w:start w:w="80" w:type="dxa"/>
              <w:bottom w:w="45" w:type="dxa"/>
              <w:end w:w="8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102A43"/>
                <w:sz w:val="14"/>
              </w:rPr>
              <w:t>Immediate plan upsell</w:t>
            </w:r>
          </w:p>
        </w:tc>
        <w:tc>
          <w:tcPr>
            <w:tcW w:type="dxa" w:w="2324"/>
            <w:tcMar>
              <w:top w:w="45" w:type="dxa"/>
              <w:start w:w="80" w:type="dxa"/>
              <w:bottom w:w="45" w:type="dxa"/>
              <w:end w:w="8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Plus/Business correlate with value</w:t>
            </w:r>
          </w:p>
        </w:tc>
        <w:tc>
          <w:tcPr>
            <w:tcW w:type="dxa" w:w="5783"/>
            <w:tcMar>
              <w:top w:w="45" w:type="dxa"/>
              <w:start w:w="80" w:type="dxa"/>
              <w:bottom w:w="45" w:type="dxa"/>
              <w:end w:w="80" w:type="dxa"/>
            </w:tcMar>
            <w:shd w:fill="FFFFFF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4"/>
              </w:rPr>
              <w:t>Only initial plan exists; current plan and causal plan effect are unknown.</w:t>
            </w:r>
          </w:p>
        </w:tc>
      </w:tr>
    </w:tbl>
    <w:p>
      <w:pPr>
        <w:spacing w:before="40" w:after="0"/>
      </w:pPr>
      <w:r>
        <w:rPr>
          <w:rFonts w:ascii="Arial" w:hAnsi="Arial"/>
          <w:b/>
          <w:i w:val="0"/>
          <w:color w:val="C95C3D"/>
          <w:sz w:val="15"/>
        </w:rPr>
        <w:t xml:space="preserve">Magnitude limit: </w:t>
      </w:r>
      <w:r>
        <w:rPr>
          <w:rFonts w:ascii="Arial" w:hAnsi="Arial"/>
          <w:b w:val="0"/>
          <w:i w:val="0"/>
          <w:color w:val="5E6C76"/>
          <w:sz w:val="15"/>
        </w:rPr>
        <w:t>populations and observed revenue can be sized; uplift, margin, CAC and causal impact cannot.</w:t>
      </w:r>
    </w:p>
    <w:p>
      <w:r>
        <w:br w:type="page"/>
      </w:r>
    </w:p>
    <w:p>
      <w:pPr>
        <w:spacing w:after="20"/>
      </w:pPr>
      <w:r>
        <w:rPr>
          <w:rFonts w:ascii="Arial" w:hAnsi="Arial"/>
          <w:b/>
          <w:i w:val="0"/>
          <w:color w:val="008C8C"/>
          <w:sz w:val="16"/>
        </w:rPr>
        <w:t>PAGE 3 • PROVE AND PRODUCTIONISE</w:t>
      </w:r>
    </w:p>
    <w:p>
      <w:pPr>
        <w:keepNext/>
        <w:spacing w:after="30"/>
      </w:pPr>
      <w:r>
        <w:rPr>
          <w:rFonts w:ascii="Arial" w:hAnsi="Arial"/>
          <w:b/>
          <w:i w:val="0"/>
          <w:color w:val="102A43"/>
          <w:sz w:val="40"/>
        </w:rPr>
        <w:t>Test the lever before scaling—and make the metrics trustworthy</w:t>
      </w:r>
    </w:p>
    <w:p>
      <w:pPr>
        <w:spacing w:after="120"/>
      </w:pPr>
      <w:r>
        <w:rPr>
          <w:rFonts w:ascii="Arial" w:hAnsi="Arial"/>
          <w:b w:val="0"/>
          <w:i w:val="0"/>
          <w:color w:val="5E6C76"/>
          <w:sz w:val="17"/>
        </w:rPr>
        <w:t>Association identifies where to test; randomisation establishes whether the lever works</w:t>
      </w:r>
    </w:p>
    <w:p>
      <w:pPr>
        <w:keepNext/>
        <w:spacing w:before="0" w:after="60"/>
      </w:pPr>
      <w:r>
        <w:rPr>
          <w:rFonts w:ascii="Arial" w:hAnsi="Arial"/>
          <w:b/>
          <w:i w:val="0"/>
          <w:color w:val="102A43"/>
          <w:sz w:val="21"/>
        </w:rPr>
        <w:t>Lead experiment: BTP product adoption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3" w:color="D8DEE3"/>
          <w:left w:val="single" w:sz="3" w:color="D8DEE3"/>
          <w:bottom w:val="single" w:sz="3" w:color="D8DEE3"/>
          <w:right w:val="single" w:sz="3" w:color="D8DEE3"/>
          <w:insideH w:val="single" w:sz="3" w:color="D8DEE3"/>
          <w:insideV w:val="single" w:sz="3" w:color="D8DEE3"/>
        </w:tblBorders>
      </w:tblPr>
      <w:tblGrid>
        <w:gridCol w:w="2268"/>
        <w:gridCol w:w="8107"/>
      </w:tblGrid>
      <w:tr>
        <w:trPr>
          <w:cantSplit/>
        </w:trPr>
        <w:tc>
          <w:tcPr>
            <w:tcW w:type="dxa" w:w="5244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EAF4F4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008C8C"/>
                <w:sz w:val="16"/>
              </w:rPr>
              <w:t>Hypothesis</w:t>
            </w:r>
          </w:p>
        </w:tc>
        <w:tc>
          <w:tcPr>
            <w:tcW w:type="dxa" w:w="5244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FFFFFF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A single, customer-appropriate product-adoption intervention causes incremental recognised revenue without worsening customer, operational, risk, or fairness outcomes.</w:t>
            </w:r>
          </w:p>
        </w:tc>
      </w:tr>
      <w:tr>
        <w:trPr>
          <w:cantSplit/>
        </w:trPr>
        <w:tc>
          <w:tcPr>
            <w:tcW w:type="dxa" w:w="5244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EAF4F4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008C8C"/>
                <w:sz w:val="16"/>
              </w:rPr>
              <w:t>Eligibility &amp; design</w:t>
            </w:r>
          </w:p>
        </w:tc>
        <w:tc>
          <w:tcPr>
            <w:tcW w:type="dxa" w:w="5244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F3F5F7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Freeze eligibility using a pre-period; use revenue-active BTP below a pre-defined high-value threshold; randomise treatment vs business-as-usual; stratify by pre-revenue, cohort age, current plan and usage; analyse intention-to-treat.</w:t>
            </w:r>
          </w:p>
        </w:tc>
      </w:tr>
      <w:tr>
        <w:trPr>
          <w:cantSplit/>
        </w:trPr>
        <w:tc>
          <w:tcPr>
            <w:tcW w:type="dxa" w:w="5244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EAF4F4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008C8C"/>
                <w:sz w:val="16"/>
              </w:rPr>
              <w:t>Primary metric</w:t>
            </w:r>
          </w:p>
        </w:tc>
        <w:tc>
          <w:tcPr>
            <w:tcW w:type="dxa" w:w="5244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FFFFFF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Incremental mean total revenue per eligible company over 90 days. Report bootstrap confidence intervals plus median and winsorised sensitivities because revenue is highly skewed.</w:t>
            </w:r>
          </w:p>
        </w:tc>
      </w:tr>
      <w:tr>
        <w:trPr>
          <w:cantSplit/>
        </w:trPr>
        <w:tc>
          <w:tcPr>
            <w:tcW w:type="dxa" w:w="5244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EAF4F4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008C8C"/>
                <w:sz w:val="16"/>
              </w:rPr>
              <w:t>Success</w:t>
            </w:r>
          </w:p>
        </w:tc>
        <w:tc>
          <w:tcPr>
            <w:tcW w:type="dxa" w:w="5244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F3F5F7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Scale only if the pre-registered interval supports positive uplift above fully loaded treatment cost, with no material guardrail deterioration. Power the test after final eligibility, cost and variance are known.</w:t>
            </w:r>
          </w:p>
        </w:tc>
      </w:tr>
      <w:tr>
        <w:trPr>
          <w:cantSplit/>
        </w:trPr>
        <w:tc>
          <w:tcPr>
            <w:tcW w:type="dxa" w:w="5244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EAF4F4"/>
          </w:tcPr>
          <w:p>
            <w:pPr>
              <w:spacing w:after="0" w:line="240" w:lineRule="auto"/>
            </w:pPr>
            <w:r>
              <w:rPr>
                <w:rFonts w:ascii="Arial" w:hAnsi="Arial"/>
                <w:b/>
                <w:i w:val="0"/>
                <w:color w:val="008C8C"/>
                <w:sz w:val="16"/>
              </w:rPr>
              <w:t>Guardrails</w:t>
            </w:r>
          </w:p>
        </w:tc>
        <w:tc>
          <w:tcPr>
            <w:tcW w:type="dxa" w:w="5244"/>
            <w:tcMar>
              <w:top w:w="72" w:type="dxa"/>
              <w:start w:w="95" w:type="dxa"/>
              <w:bottom w:w="72" w:type="dxa"/>
              <w:end w:w="95" w:type="dxa"/>
            </w:tcMar>
            <w:vAlign w:val="center"/>
            <w:shd w:fill="FFFFFF"/>
          </w:tcPr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Closures, complaints, support contacts, fraud/AML/risk outcomes, fairness, operational failures, and negative-fee adjustments.</w:t>
            </w:r>
          </w:p>
        </w:tc>
      </w:tr>
    </w:tbl>
    <w:p>
      <w:pPr>
        <w:keepNext/>
        <w:spacing w:before="60" w:after="60"/>
      </w:pPr>
      <w:r>
        <w:rPr>
          <w:rFonts w:ascii="Arial" w:hAnsi="Arial"/>
          <w:b/>
          <w:i w:val="0"/>
          <w:color w:val="102A43"/>
          <w:sz w:val="21"/>
        </w:rPr>
        <w:t>Validate first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7" w:color="FFFFFF"/>
          <w:left w:val="single" w:sz="7" w:color="FFFFFF"/>
          <w:bottom w:val="single" w:sz="7" w:color="FFFFFF"/>
          <w:right w:val="single" w:sz="7" w:color="FFFFFF"/>
          <w:insideH w:val="single" w:sz="7" w:color="FFFFFF"/>
          <w:insideV w:val="single" w:sz="7" w:color="FFFFFF"/>
        </w:tblBorders>
      </w:tblPr>
      <w:tblGrid>
        <w:gridCol w:w="3458"/>
        <w:gridCol w:w="3458"/>
        <w:gridCol w:w="3458"/>
      </w:tblGrid>
      <w:tr>
        <w:tc>
          <w:tcPr>
            <w:tcW w:type="dxa" w:w="3496"/>
            <w:shd w:fill="F3F5F7"/>
            <w:tcMar>
              <w:top w:w="90" w:type="dxa"/>
              <w:start w:w="105" w:type="dxa"/>
              <w:bottom w:w="90" w:type="dxa"/>
              <w:end w:w="105" w:type="dxa"/>
            </w:tcMar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008C8C"/>
                <w:sz w:val="24"/>
              </w:rPr>
              <w:t>1</w:t>
            </w:r>
            <w:r>
              <w:rPr>
                <w:rFonts w:ascii="Arial" w:hAnsi="Arial"/>
                <w:b/>
                <w:i w:val="0"/>
                <w:color w:val="102A43"/>
                <w:sz w:val="16"/>
              </w:rPr>
              <w:t xml:space="preserve">  Completeness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Confirm missing row = zero; reconcile to Finance; keep May out until signup coverage is explained.</w:t>
            </w:r>
          </w:p>
        </w:tc>
        <w:tc>
          <w:tcPr>
            <w:tcW w:type="dxa" w:w="3496"/>
            <w:shd w:fill="F3F5F7"/>
            <w:tcMar>
              <w:top w:w="90" w:type="dxa"/>
              <w:start w:w="105" w:type="dxa"/>
              <w:bottom w:w="90" w:type="dxa"/>
              <w:end w:w="105" w:type="dxa"/>
            </w:tcMar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008C8C"/>
                <w:sz w:val="24"/>
              </w:rPr>
              <w:t>2</w:t>
            </w:r>
            <w:r>
              <w:rPr>
                <w:rFonts w:ascii="Arial" w:hAnsi="Arial"/>
                <w:b/>
                <w:i w:val="0"/>
                <w:color w:val="102A43"/>
                <w:sz w:val="16"/>
              </w:rPr>
              <w:t xml:space="preserve">  Business meaning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Validate activation, closure, cancellation, revenue recognition, current plan and persona history.</w:t>
            </w:r>
          </w:p>
        </w:tc>
        <w:tc>
          <w:tcPr>
            <w:tcW w:type="dxa" w:w="3496"/>
            <w:shd w:fill="FBEFEA"/>
            <w:tcMar>
              <w:top w:w="90" w:type="dxa"/>
              <w:start w:w="105" w:type="dxa"/>
              <w:bottom w:w="90" w:type="dxa"/>
              <w:end w:w="105" w:type="dxa"/>
            </w:tcMar>
          </w:tcPr>
          <w:p>
            <w:pPr>
              <w:spacing w:after="20"/>
            </w:pPr>
            <w:r>
              <w:rPr>
                <w:rFonts w:ascii="Arial" w:hAnsi="Arial"/>
                <w:b/>
                <w:i w:val="0"/>
                <w:color w:val="C95C3D"/>
                <w:sz w:val="24"/>
              </w:rPr>
              <w:t>3</w:t>
            </w:r>
            <w:r>
              <w:rPr>
                <w:rFonts w:ascii="Arial" w:hAnsi="Arial"/>
                <w:b/>
                <w:i w:val="0"/>
                <w:color w:val="102A43"/>
                <w:sz w:val="16"/>
              </w:rPr>
              <w:t xml:space="preserve">  KYB &amp; privacy</w:t>
            </w:r>
          </w:p>
          <w:p>
            <w:pPr>
              <w:spacing w:after="0" w:line="240" w:lineRule="auto"/>
            </w:pPr>
            <w:r>
              <w:rPr>
                <w:rFonts w:ascii="Arial" w:hAnsi="Arial"/>
                <w:b w:val="0"/>
                <w:i w:val="0"/>
                <w:color w:val="17212B"/>
                <w:sz w:val="15"/>
              </w:rPr>
              <w:t>Confirm permitted persona use; minimise data; suppress small cells; never use this for adverse eligibility decisions.</w:t>
            </w:r>
          </w:p>
        </w:tc>
      </w:tr>
    </w:tbl>
    <w:p>
      <w:pPr>
        <w:keepNext/>
        <w:spacing w:before="60" w:after="60"/>
      </w:pPr>
      <w:r>
        <w:rPr>
          <w:rFonts w:ascii="Arial" w:hAnsi="Arial"/>
          <w:b/>
          <w:i w:val="0"/>
          <w:color w:val="102A43"/>
          <w:sz w:val="21"/>
        </w:rPr>
        <w:t>Trusted production engine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7" w:color="FFFFFF"/>
          <w:left w:val="single" w:sz="7" w:color="FFFFFF"/>
          <w:bottom w:val="single" w:sz="7" w:color="FFFFFF"/>
          <w:right w:val="single" w:sz="7" w:color="FFFFFF"/>
          <w:insideH w:val="single" w:sz="7" w:color="FFFFFF"/>
          <w:insideV w:val="single" w:sz="7" w:color="FFFFFF"/>
        </w:tblBorders>
      </w:tblPr>
      <w:tblGrid>
        <w:gridCol w:w="1446"/>
        <w:gridCol w:w="312"/>
        <w:gridCol w:w="2268"/>
        <w:gridCol w:w="312"/>
        <w:gridCol w:w="2041"/>
        <w:gridCol w:w="312"/>
        <w:gridCol w:w="2665"/>
      </w:tblGrid>
      <w:tr>
        <w:tc>
          <w:tcPr>
            <w:tcW w:type="dxa" w:w="1498"/>
            <w:vAlign w:val="center"/>
            <w:tcMar>
              <w:top w:w="65" w:type="dxa"/>
              <w:start w:w="45" w:type="dxa"/>
              <w:bottom w:w="65" w:type="dxa"/>
              <w:end w:w="45" w:type="dxa"/>
            </w:tcMar>
            <w:shd w:fill="EAF4F4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102A43"/>
                <w:sz w:val="16"/>
              </w:rPr>
              <w:t>Raw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5E6C76"/>
                <w:sz w:val="13"/>
              </w:rPr>
              <w:t>snapshots</w:t>
            </w:r>
          </w:p>
        </w:tc>
        <w:tc>
          <w:tcPr>
            <w:tcW w:type="dxa" w:w="1498"/>
            <w:vAlign w:val="center"/>
            <w:tcMar>
              <w:top w:w="65" w:type="dxa"/>
              <w:start w:w="45" w:type="dxa"/>
              <w:bottom w:w="65" w:type="dxa"/>
              <w:end w:w="45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08C8C"/>
                <w:sz w:val="24"/>
              </w:rPr>
              <w:t>→</w:t>
            </w:r>
          </w:p>
        </w:tc>
        <w:tc>
          <w:tcPr>
            <w:tcW w:type="dxa" w:w="1498"/>
            <w:vAlign w:val="center"/>
            <w:tcMar>
              <w:top w:w="65" w:type="dxa"/>
              <w:start w:w="45" w:type="dxa"/>
              <w:bottom w:w="65" w:type="dxa"/>
              <w:end w:w="45" w:type="dxa"/>
            </w:tcMar>
            <w:shd w:fill="EAF4F4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102A43"/>
                <w:sz w:val="16"/>
              </w:rPr>
              <w:t>Typed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5E6C76"/>
                <w:sz w:val="13"/>
              </w:rPr>
              <w:t>company-month fact</w:t>
            </w:r>
          </w:p>
        </w:tc>
        <w:tc>
          <w:tcPr>
            <w:tcW w:type="dxa" w:w="1498"/>
            <w:vAlign w:val="center"/>
            <w:tcMar>
              <w:top w:w="65" w:type="dxa"/>
              <w:start w:w="45" w:type="dxa"/>
              <w:bottom w:w="65" w:type="dxa"/>
              <w:end w:w="45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08C8C"/>
                <w:sz w:val="24"/>
              </w:rPr>
              <w:t>→</w:t>
            </w:r>
          </w:p>
        </w:tc>
        <w:tc>
          <w:tcPr>
            <w:tcW w:type="dxa" w:w="1498"/>
            <w:vAlign w:val="center"/>
            <w:tcMar>
              <w:top w:w="65" w:type="dxa"/>
              <w:start w:w="45" w:type="dxa"/>
              <w:bottom w:w="65" w:type="dxa"/>
              <w:end w:w="45" w:type="dxa"/>
            </w:tcMar>
            <w:shd w:fill="EAF4F4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102A43"/>
                <w:sz w:val="16"/>
              </w:rPr>
              <w:t>Versioned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5E6C76"/>
                <w:sz w:val="13"/>
              </w:rPr>
              <w:t>metric marts</w:t>
            </w:r>
          </w:p>
        </w:tc>
        <w:tc>
          <w:tcPr>
            <w:tcW w:type="dxa" w:w="1498"/>
            <w:vAlign w:val="center"/>
            <w:tcMar>
              <w:top w:w="65" w:type="dxa"/>
              <w:start w:w="45" w:type="dxa"/>
              <w:bottom w:w="65" w:type="dxa"/>
              <w:end w:w="45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i w:val="0"/>
                <w:color w:val="008C8C"/>
                <w:sz w:val="24"/>
              </w:rPr>
              <w:t>→</w:t>
            </w:r>
          </w:p>
        </w:tc>
        <w:tc>
          <w:tcPr>
            <w:tcW w:type="dxa" w:w="1498"/>
            <w:vAlign w:val="center"/>
            <w:tcMar>
              <w:top w:w="65" w:type="dxa"/>
              <w:start w:w="45" w:type="dxa"/>
              <w:bottom w:w="65" w:type="dxa"/>
              <w:end w:w="45" w:type="dxa"/>
            </w:tcMar>
            <w:shd w:fill="EAF4F4"/>
          </w:tcPr>
          <w:p>
            <w:pPr>
              <w:spacing w:after="0"/>
              <w:jc w:val="center"/>
            </w:pPr>
            <w:r>
              <w:rPr>
                <w:rFonts w:ascii="Arial" w:hAnsi="Arial"/>
                <w:b/>
                <w:i w:val="0"/>
                <w:color w:val="102A43"/>
                <w:sz w:val="16"/>
              </w:rPr>
              <w:t>Governed</w:t>
            </w:r>
          </w:p>
          <w:p>
            <w:pPr>
              <w:spacing w:after="0"/>
              <w:jc w:val="center"/>
            </w:pPr>
            <w:r>
              <w:rPr>
                <w:rFonts w:ascii="Arial" w:hAnsi="Arial"/>
                <w:b w:val="0"/>
                <w:i w:val="0"/>
                <w:color w:val="5E6C76"/>
                <w:sz w:val="13"/>
              </w:rPr>
              <w:t>semantic layer</w:t>
            </w:r>
          </w:p>
        </w:tc>
      </w:tr>
    </w:tbl>
    <w:p>
      <w:pPr>
        <w:spacing w:after="20" w:line="250" w:lineRule="auto"/>
      </w:pPr>
      <w:r>
        <w:rPr>
          <w:rFonts w:ascii="Arial" w:hAnsi="Arial"/>
          <w:b w:val="0"/>
          <w:i w:val="0"/>
          <w:color w:val="17212B"/>
          <w:sz w:val="15"/>
        </w:rPr>
        <w:t>Automated tests: unique company-month key; referential integrity; component-to-total and Finance reconciliation; freshness/completeness; date ordering; state-transition invariants; fixed cohort denominators; late-arriving-data/backfill controls.</w:t>
      </w:r>
    </w:p>
    <w:p>
      <w:pPr>
        <w:spacing w:after="20" w:line="250" w:lineRule="auto"/>
      </w:pPr>
      <w:r>
        <w:rPr>
          <w:rFonts w:ascii="Arial" w:hAnsi="Arial"/>
          <w:b w:val="0"/>
          <w:i w:val="0"/>
          <w:color w:val="17212B"/>
          <w:sz w:val="15"/>
        </w:rPr>
        <w:t>Ownership: Finance—revenue; Product/Growth—lever and thresholds; Data—models/tests/lineage; Risk/Compliance/Privacy—KYB use; Operations/CRM—execution. Refresh after monthly close and version every definition change.</w:t>
      </w:r>
    </w:p>
    <w:p>
      <w:pPr>
        <w:spacing w:before="40" w:after="0"/>
      </w:pPr>
      <w:r>
        <w:rPr>
          <w:rFonts w:ascii="Arial" w:hAnsi="Arial"/>
          <w:b/>
          <w:i w:val="0"/>
          <w:color w:val="008C8C"/>
          <w:sz w:val="15"/>
        </w:rPr>
        <w:t xml:space="preserve">SQL appendix: </w:t>
      </w:r>
      <w:r>
        <w:rPr>
          <w:rFonts w:ascii="Arial" w:hAnsi="Arial"/>
          <w:b w:val="0"/>
          <w:i w:val="0"/>
          <w:color w:val="5E6C76"/>
          <w:sz w:val="15"/>
        </w:rPr>
        <w:t>sql/revenue_concentration_analysis.sql • sql/presentation_kpis.sql • sql/account_health_playground.sql</w:t>
      </w:r>
    </w:p>
    <w:p>
      <w:pPr>
        <w:spacing w:after="0"/>
      </w:pPr>
      <w:r>
        <w:rPr>
          <w:rFonts w:ascii="Arial" w:hAnsi="Arial"/>
          <w:b/>
          <w:i w:val="0"/>
          <w:color w:val="C95C3D"/>
          <w:sz w:val="15"/>
        </w:rPr>
        <w:t xml:space="preserve">Not concluded: </w:t>
      </w:r>
      <w:r>
        <w:rPr>
          <w:rFonts w:ascii="Arial" w:hAnsi="Arial"/>
          <w:b w:val="0"/>
          <w:i w:val="0"/>
          <w:color w:val="5E6C76"/>
          <w:sz w:val="15"/>
        </w:rPr>
        <w:t>true churn, forecast LTV, causal plan effect, CAC/payback, profitability, or complete May performance.</w:t>
      </w:r>
    </w:p>
    <w:sectPr w:rsidR="00FC693F" w:rsidRPr="0006063C" w:rsidSect="00034616">
      <w:footerReference w:type="default" r:id="rId9"/>
      <w:pgSz w:w="11906" w:h="16838"/>
      <w:pgMar w:top="652" w:right="709" w:bottom="595" w:left="709" w:header="227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b/>
        <w:i w:val="0"/>
        <w:color w:val="5E6C76"/>
        <w:sz w:val="14"/>
      </w:rPr>
      <w:t xml:space="preserve">SHINE CASE  • 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5" w:lineRule="auto"/>
    </w:pPr>
    <w:rPr>
      <w:rFonts w:ascii="Arial" w:hAnsi="Arial"/>
      <w:color w:val="1721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17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Arial" w:hAnsi="Arial"/>
      <w:sz w:val="17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Shine — Revenue Risk &amp; Opportunity</dc:title>
  <dc:subject>Senior Data Analyst Case Study</dc:subject>
  <dc:creator>Candidate analysis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