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i w:val="0"/>
          <w:color w:val="008C8C"/>
          <w:sz w:val="20"/>
        </w:rPr>
        <w:t>SHINE • FRANCE</w:t>
      </w:r>
    </w:p>
    <w:p>
      <w:pPr>
        <w:spacing w:after="100"/>
      </w:pPr>
      <w:r>
        <w:rPr>
          <w:rFonts w:ascii="Arial" w:hAnsi="Arial"/>
          <w:b/>
          <w:i w:val="0"/>
          <w:color w:val="102A43"/>
          <w:sz w:val="46"/>
        </w:rPr>
        <w:t>External market research &amp; revised strategy</w:t>
      </w:r>
    </w:p>
    <w:p>
      <w:pPr>
        <w:spacing w:after="200"/>
      </w:pPr>
      <w:r>
        <w:rPr>
          <w:rFonts w:ascii="Arial" w:hAnsi="Arial"/>
          <w:b w:val="0"/>
          <w:i w:val="0"/>
          <w:color w:val="5E6C76"/>
          <w:sz w:val="21"/>
        </w:rPr>
        <w:t>Pressure-testing the dataset-led BTP and initial-plan findings against Shine's current product, competition, market conditions, and regulation</w:t>
      </w:r>
    </w:p>
    <w:p>
      <w:pPr>
        <w:spacing w:after="160"/>
      </w:pPr>
      <w:r>
        <w:rPr>
          <w:rFonts w:ascii="Arial" w:hAnsi="Arial"/>
          <w:b/>
          <w:i w:val="0"/>
          <w:color w:val="17212B"/>
          <w:sz w:val="17"/>
        </w:rPr>
        <w:t>Research date: 30 August 2026</w:t>
      </w:r>
    </w:p>
    <w:tbl>
      <w:tblPr>
        <w:tblW w:type="auto" w:w="0"/>
        <w:tblLayout w:type="fixed"/>
        <w:tblLook w:firstColumn="1" w:firstRow="1" w:lastColumn="0" w:lastRow="0" w:noHBand="0" w:noVBand="1" w:val="04A0"/>
        <w:tblBorders>
          <w:top w:val="single" w:sz="1" w:color="102A43"/>
          <w:left w:val="single" w:sz="1" w:color="102A43"/>
          <w:bottom w:val="single" w:sz="1" w:color="102A43"/>
          <w:right w:val="single" w:sz="1" w:color="102A43"/>
          <w:insideH w:val="single" w:sz="1" w:color="102A43"/>
          <w:insideV w:val="single" w:sz="1" w:color="102A43"/>
        </w:tblBorders>
      </w:tblPr>
      <w:tblGrid>
        <w:gridCol w:w="10375"/>
      </w:tblGrid>
      <w:tr>
        <w:tc>
          <w:tcPr>
            <w:tcW w:type="dxa" w:w="10488"/>
            <w:shd w:fill="102A43"/>
            <w:tcMar>
              <w:top w:w="160" w:type="dxa"/>
              <w:start w:w="190" w:type="dxa"/>
              <w:bottom w:w="160" w:type="dxa"/>
              <w:end w:w="190" w:type="dxa"/>
            </w:tcMar>
          </w:tcPr>
          <w:p>
            <w:pPr>
              <w:spacing w:after="40" w:line="240" w:lineRule="auto"/>
            </w:pPr>
            <w:r>
              <w:rPr>
                <w:rFonts w:ascii="Arial" w:hAnsi="Arial"/>
                <w:b/>
                <w:i w:val="0"/>
                <w:color w:val="FFFFFF"/>
                <w:sz w:val="19"/>
              </w:rPr>
              <w:t>Revised position</w:t>
            </w:r>
          </w:p>
          <w:p>
            <w:pPr>
              <w:spacing w:after="0" w:line="240" w:lineRule="auto"/>
            </w:pPr>
            <w:r>
              <w:rPr>
                <w:rFonts w:ascii="Arial" w:hAnsi="Arial"/>
                <w:b/>
                <w:i w:val="0"/>
                <w:color w:val="FFFFFF"/>
                <w:sz w:val="22"/>
              </w:rPr>
              <w:t>BTP is Shine's strongest demonstrated vertical—not yet a proven untapped market. Run a bounded BTP-fit workflow experiment, retain behavior-based revenue protection as the second initiative, and use electronic invoicing as a cross-persona entry point only when causal tests show incremental value.</w:t>
            </w:r>
          </w:p>
        </w:tc>
      </w:tr>
    </w:tbl>
    <w:p>
      <w:pPr>
        <w:keepNext/>
        <w:spacing w:before="80" w:after="60"/>
      </w:pPr>
      <w:r>
        <w:rPr>
          <w:rFonts w:ascii="Arial" w:hAnsi="Arial"/>
          <w:b/>
          <w:i w:val="0"/>
          <w:color w:val="102A43"/>
          <w:sz w:val="26"/>
        </w:rPr>
        <w:t>What the supplied dataset establishes</w:t>
      </w:r>
    </w:p>
    <w:tbl>
      <w:tblPr>
        <w:tblW w:type="auto" w:w="0"/>
        <w:tblLayout w:type="fixed"/>
        <w:tblLook w:firstColumn="1" w:firstRow="1" w:lastColumn="0" w:lastRow="0" w:noHBand="0" w:noVBand="1" w:val="04A0"/>
        <w:tblBorders>
          <w:top w:val="single" w:sz="3" w:color="D8DEE3"/>
          <w:left w:val="single" w:sz="3" w:color="D8DEE3"/>
          <w:bottom w:val="single" w:sz="3" w:color="D8DEE3"/>
          <w:right w:val="single" w:sz="3" w:color="D8DEE3"/>
          <w:insideH w:val="single" w:sz="3" w:color="D8DEE3"/>
          <w:insideV w:val="single" w:sz="3" w:color="D8DEE3"/>
        </w:tblBorders>
      </w:tblPr>
      <w:tblGrid>
        <w:gridCol w:w="2268"/>
        <w:gridCol w:w="3231"/>
        <w:gridCol w:w="4876"/>
      </w:tblGrid>
      <w:tr>
        <w:trPr>
          <w:tblHeader w:val="true"/>
        </w:trPr>
        <w:tc>
          <w:tcPr>
            <w:tcW w:type="dxa" w:w="3496"/>
            <w:shd w:fill="102A43"/>
            <w:tcMar>
              <w:top w:w="80" w:type="dxa"/>
              <w:start w:w="100" w:type="dxa"/>
              <w:bottom w:w="80" w:type="dxa"/>
              <w:end w:w="100" w:type="dxa"/>
            </w:tcMar>
          </w:tcPr>
          <w:p>
            <w:pPr>
              <w:spacing w:after="0" w:line="240" w:lineRule="auto"/>
            </w:pPr>
            <w:r>
              <w:rPr>
                <w:rFonts w:ascii="Arial" w:hAnsi="Arial"/>
                <w:b/>
                <w:i w:val="0"/>
                <w:color w:val="FFFFFF"/>
                <w:sz w:val="16"/>
              </w:rPr>
              <w:t>Segment</w:t>
            </w:r>
          </w:p>
        </w:tc>
        <w:tc>
          <w:tcPr>
            <w:tcW w:type="dxa" w:w="3496"/>
            <w:shd w:fill="102A43"/>
            <w:tcMar>
              <w:top w:w="80" w:type="dxa"/>
              <w:start w:w="100" w:type="dxa"/>
              <w:bottom w:w="80" w:type="dxa"/>
              <w:end w:w="100" w:type="dxa"/>
            </w:tcMar>
          </w:tcPr>
          <w:p>
            <w:pPr>
              <w:spacing w:after="0" w:line="240" w:lineRule="auto"/>
            </w:pPr>
            <w:r>
              <w:rPr>
                <w:rFonts w:ascii="Arial" w:hAnsi="Arial"/>
                <w:b/>
                <w:i w:val="0"/>
                <w:color w:val="FFFFFF"/>
                <w:sz w:val="16"/>
              </w:rPr>
              <w:t>Observed scale</w:t>
            </w:r>
          </w:p>
        </w:tc>
        <w:tc>
          <w:tcPr>
            <w:tcW w:type="dxa" w:w="3496"/>
            <w:shd w:fill="102A43"/>
            <w:tcMar>
              <w:top w:w="80" w:type="dxa"/>
              <w:start w:w="100" w:type="dxa"/>
              <w:bottom w:w="80" w:type="dxa"/>
              <w:end w:w="100" w:type="dxa"/>
            </w:tcMar>
          </w:tcPr>
          <w:p>
            <w:pPr>
              <w:spacing w:after="0" w:line="240" w:lineRule="auto"/>
            </w:pPr>
            <w:r>
              <w:rPr>
                <w:rFonts w:ascii="Arial" w:hAnsi="Arial"/>
                <w:b/>
                <w:i w:val="0"/>
                <w:color w:val="FFFFFF"/>
                <w:sz w:val="16"/>
              </w:rPr>
              <w:t>Interpretation</w:t>
            </w:r>
          </w:p>
        </w:tc>
      </w:tr>
      <w:tr>
        <w:trPr>
          <w:cantSplit/>
        </w:trPr>
        <w:tc>
          <w:tcPr>
            <w:tcW w:type="dxa" w:w="2268"/>
            <w:shd w:fill="FFFFFF"/>
            <w:tcMar>
              <w:top w:w="70" w:type="dxa"/>
              <w:start w:w="95" w:type="dxa"/>
              <w:bottom w:w="70" w:type="dxa"/>
              <w:end w:w="95" w:type="dxa"/>
            </w:tcMar>
          </w:tcPr>
          <w:p>
            <w:pPr>
              <w:spacing w:after="0" w:line="240" w:lineRule="auto"/>
            </w:pPr>
            <w:r>
              <w:rPr>
                <w:rFonts w:ascii="Arial" w:hAnsi="Arial"/>
                <w:b/>
                <w:i w:val="0"/>
                <w:color w:val="102A43"/>
                <w:sz w:val="16"/>
              </w:rPr>
              <w:t>BTP</w:t>
            </w:r>
          </w:p>
        </w:tc>
        <w:tc>
          <w:tcPr>
            <w:tcW w:type="dxa" w:w="3231"/>
            <w:shd w:fill="FFFFFF"/>
            <w:tcMar>
              <w:top w:w="70" w:type="dxa"/>
              <w:start w:w="95" w:type="dxa"/>
              <w:bottom w:w="70" w:type="dxa"/>
              <w:end w:w="95" w:type="dxa"/>
            </w:tcMar>
          </w:tcPr>
          <w:p>
            <w:pPr>
              <w:spacing w:after="0" w:line="240" w:lineRule="auto"/>
            </w:pPr>
            <w:r>
              <w:rPr>
                <w:rFonts w:ascii="Arial" w:hAnsi="Arial"/>
                <w:b w:val="0"/>
                <w:i w:val="0"/>
                <w:color w:val="17212B"/>
                <w:sz w:val="16"/>
              </w:rPr>
              <w:t>26.74% of comparable revenue</w:t>
            </w:r>
          </w:p>
        </w:tc>
        <w:tc>
          <w:tcPr>
            <w:tcW w:type="dxa" w:w="4876"/>
            <w:shd w:fill="FFFFFF"/>
            <w:tcMar>
              <w:top w:w="70" w:type="dxa"/>
              <w:start w:w="95" w:type="dxa"/>
              <w:bottom w:w="70" w:type="dxa"/>
              <w:end w:w="95" w:type="dxa"/>
            </w:tcMar>
          </w:tcPr>
          <w:p>
            <w:pPr>
              <w:spacing w:after="0" w:line="240" w:lineRule="auto"/>
            </w:pPr>
            <w:r>
              <w:rPr>
                <w:rFonts w:ascii="Arial" w:hAnsi="Arial"/>
                <w:b w:val="0"/>
                <w:i w:val="0"/>
                <w:color w:val="17212B"/>
                <w:sz w:val="16"/>
              </w:rPr>
              <w:t>N=1,642; 1.48× overall average revenue/company</w:t>
            </w:r>
          </w:p>
        </w:tc>
      </w:tr>
      <w:tr>
        <w:trPr>
          <w:cantSplit/>
        </w:trPr>
        <w:tc>
          <w:tcPr>
            <w:tcW w:type="dxa" w:w="2268"/>
            <w:shd w:fill="F3F5F7"/>
            <w:tcMar>
              <w:top w:w="70" w:type="dxa"/>
              <w:start w:w="95" w:type="dxa"/>
              <w:bottom w:w="70" w:type="dxa"/>
              <w:end w:w="95" w:type="dxa"/>
            </w:tcMar>
          </w:tcPr>
          <w:p>
            <w:pPr>
              <w:spacing w:after="0" w:line="240" w:lineRule="auto"/>
            </w:pPr>
            <w:r>
              <w:rPr>
                <w:rFonts w:ascii="Arial" w:hAnsi="Arial"/>
                <w:b/>
                <w:i w:val="0"/>
                <w:color w:val="102A43"/>
                <w:sz w:val="16"/>
              </w:rPr>
              <w:t>Plus initial plan</w:t>
            </w:r>
          </w:p>
        </w:tc>
        <w:tc>
          <w:tcPr>
            <w:tcW w:type="dxa" w:w="3231"/>
            <w:shd w:fill="F3F5F7"/>
            <w:tcMar>
              <w:top w:w="70" w:type="dxa"/>
              <w:start w:w="95" w:type="dxa"/>
              <w:bottom w:w="70" w:type="dxa"/>
              <w:end w:w="95" w:type="dxa"/>
            </w:tcMar>
          </w:tcPr>
          <w:p>
            <w:pPr>
              <w:spacing w:after="0" w:line="240" w:lineRule="auto"/>
            </w:pPr>
            <w:r>
              <w:rPr>
                <w:rFonts w:ascii="Arial" w:hAnsi="Arial"/>
                <w:b w:val="0"/>
                <w:i w:val="0"/>
                <w:color w:val="17212B"/>
                <w:sz w:val="16"/>
              </w:rPr>
              <w:t>28.56% of comparable plan revenue</w:t>
            </w:r>
          </w:p>
        </w:tc>
        <w:tc>
          <w:tcPr>
            <w:tcW w:type="dxa" w:w="4876"/>
            <w:shd w:fill="F3F5F7"/>
            <w:tcMar>
              <w:top w:w="70" w:type="dxa"/>
              <w:start w:w="95" w:type="dxa"/>
              <w:bottom w:w="70" w:type="dxa"/>
              <w:end w:w="95" w:type="dxa"/>
            </w:tcMar>
          </w:tcPr>
          <w:p>
            <w:pPr>
              <w:spacing w:after="0" w:line="240" w:lineRule="auto"/>
            </w:pPr>
            <w:r>
              <w:rPr>
                <w:rFonts w:ascii="Arial" w:hAnsi="Arial"/>
                <w:b w:val="0"/>
                <w:i w:val="0"/>
                <w:color w:val="17212B"/>
                <w:sz w:val="16"/>
              </w:rPr>
              <w:t>2.02× overall average revenue/company</w:t>
            </w:r>
          </w:p>
        </w:tc>
      </w:tr>
      <w:tr>
        <w:trPr>
          <w:cantSplit/>
        </w:trPr>
        <w:tc>
          <w:tcPr>
            <w:tcW w:type="dxa" w:w="2268"/>
            <w:shd w:fill="FFFFFF"/>
            <w:tcMar>
              <w:top w:w="70" w:type="dxa"/>
              <w:start w:w="95" w:type="dxa"/>
              <w:bottom w:w="70" w:type="dxa"/>
              <w:end w:w="95" w:type="dxa"/>
            </w:tcMar>
          </w:tcPr>
          <w:p>
            <w:pPr>
              <w:spacing w:after="0" w:line="240" w:lineRule="auto"/>
            </w:pPr>
            <w:r>
              <w:rPr>
                <w:rFonts w:ascii="Arial" w:hAnsi="Arial"/>
                <w:b/>
                <w:i w:val="0"/>
                <w:color w:val="102A43"/>
                <w:sz w:val="16"/>
              </w:rPr>
              <w:t>Start initial plan</w:t>
            </w:r>
          </w:p>
        </w:tc>
        <w:tc>
          <w:tcPr>
            <w:tcW w:type="dxa" w:w="3231"/>
            <w:shd w:fill="FFFFFF"/>
            <w:tcMar>
              <w:top w:w="70" w:type="dxa"/>
              <w:start w:w="95" w:type="dxa"/>
              <w:bottom w:w="70" w:type="dxa"/>
              <w:end w:w="95" w:type="dxa"/>
            </w:tcMar>
          </w:tcPr>
          <w:p>
            <w:pPr>
              <w:spacing w:after="0" w:line="240" w:lineRule="auto"/>
            </w:pPr>
            <w:r>
              <w:rPr>
                <w:rFonts w:ascii="Arial" w:hAnsi="Arial"/>
                <w:b w:val="0"/>
                <w:i w:val="0"/>
                <w:color w:val="17212B"/>
                <w:sz w:val="16"/>
              </w:rPr>
              <w:t>44.64% of comparable plan revenue</w:t>
            </w:r>
          </w:p>
        </w:tc>
        <w:tc>
          <w:tcPr>
            <w:tcW w:type="dxa" w:w="4876"/>
            <w:shd w:fill="FFFFFF"/>
            <w:tcMar>
              <w:top w:w="70" w:type="dxa"/>
              <w:start w:w="95" w:type="dxa"/>
              <w:bottom w:w="70" w:type="dxa"/>
              <w:end w:w="95" w:type="dxa"/>
            </w:tcMar>
          </w:tcPr>
          <w:p>
            <w:pPr>
              <w:spacing w:after="0" w:line="240" w:lineRule="auto"/>
            </w:pPr>
            <w:r>
              <w:rPr>
                <w:rFonts w:ascii="Arial" w:hAnsi="Arial"/>
                <w:b w:val="0"/>
                <w:i w:val="0"/>
                <w:color w:val="17212B"/>
                <w:sz w:val="16"/>
              </w:rPr>
              <w:t>Scale-led; approximately average revenue/company</w:t>
            </w:r>
          </w:p>
        </w:tc>
      </w:tr>
      <w:tr>
        <w:trPr>
          <w:cantSplit/>
        </w:trPr>
        <w:tc>
          <w:tcPr>
            <w:tcW w:type="dxa" w:w="2268"/>
            <w:shd w:fill="F3F5F7"/>
            <w:tcMar>
              <w:top w:w="70" w:type="dxa"/>
              <w:start w:w="95" w:type="dxa"/>
              <w:bottom w:w="70" w:type="dxa"/>
              <w:end w:w="95" w:type="dxa"/>
            </w:tcMar>
          </w:tcPr>
          <w:p>
            <w:pPr>
              <w:spacing w:after="0" w:line="240" w:lineRule="auto"/>
            </w:pPr>
            <w:r>
              <w:rPr>
                <w:rFonts w:ascii="Arial" w:hAnsi="Arial"/>
                <w:b/>
                <w:i w:val="0"/>
                <w:color w:val="102A43"/>
                <w:sz w:val="16"/>
              </w:rPr>
              <w:t>Business initial plan</w:t>
            </w:r>
          </w:p>
        </w:tc>
        <w:tc>
          <w:tcPr>
            <w:tcW w:type="dxa" w:w="3231"/>
            <w:shd w:fill="F3F5F7"/>
            <w:tcMar>
              <w:top w:w="70" w:type="dxa"/>
              <w:start w:w="95" w:type="dxa"/>
              <w:bottom w:w="70" w:type="dxa"/>
              <w:end w:w="95" w:type="dxa"/>
            </w:tcMar>
          </w:tcPr>
          <w:p>
            <w:pPr>
              <w:spacing w:after="0" w:line="240" w:lineRule="auto"/>
            </w:pPr>
            <w:r>
              <w:rPr>
                <w:rFonts w:ascii="Arial" w:hAnsi="Arial"/>
                <w:b w:val="0"/>
                <w:i w:val="0"/>
                <w:color w:val="17212B"/>
                <w:sz w:val="16"/>
              </w:rPr>
              <w:t>6.95% of comparable plan revenue</w:t>
            </w:r>
          </w:p>
        </w:tc>
        <w:tc>
          <w:tcPr>
            <w:tcW w:type="dxa" w:w="4876"/>
            <w:shd w:fill="F3F5F7"/>
            <w:tcMar>
              <w:top w:w="70" w:type="dxa"/>
              <w:start w:w="95" w:type="dxa"/>
              <w:bottom w:w="70" w:type="dxa"/>
              <w:end w:w="95" w:type="dxa"/>
            </w:tcMar>
          </w:tcPr>
          <w:p>
            <w:pPr>
              <w:spacing w:after="0" w:line="240" w:lineRule="auto"/>
            </w:pPr>
            <w:r>
              <w:rPr>
                <w:rFonts w:ascii="Arial" w:hAnsi="Arial"/>
                <w:b w:val="0"/>
                <w:i w:val="0"/>
                <w:color w:val="17212B"/>
                <w:sz w:val="16"/>
              </w:rPr>
              <w:t>N=196; 3.22× average, but small and fragile</w:t>
            </w:r>
          </w:p>
        </w:tc>
      </w:tr>
    </w:tbl>
    <w:p>
      <w:pPr>
        <w:spacing w:after="100" w:line="250" w:lineRule="auto"/>
      </w:pPr>
      <w:r>
        <w:rPr>
          <w:rFonts w:ascii="Arial" w:hAnsi="Arial"/>
          <w:b w:val="0"/>
          <w:i w:val="0"/>
          <w:color w:val="C95C3D"/>
          <w:sz w:val="16"/>
        </w:rPr>
        <w:t>Interpretation boundary: these are associations inside Shine's extracted population. They do not establish total addressable market, current plan, acquisition cost, contribution margin, competitive switching, or causal product effects.</w:t>
      </w:r>
    </w:p>
    <w:p>
      <w:pPr>
        <w:keepNext/>
        <w:spacing w:before="80" w:after="60"/>
      </w:pPr>
      <w:r>
        <w:rPr>
          <w:rFonts w:ascii="Arial" w:hAnsi="Arial"/>
          <w:b/>
          <w:i w:val="0"/>
          <w:color w:val="102A43"/>
          <w:sz w:val="26"/>
        </w:rPr>
        <w:t>Why the wording changed</w:t>
      </w:r>
    </w:p>
    <w:p>
      <w:pPr>
        <w:pStyle w:val="ListBullet"/>
        <w:spacing w:after="30" w:line="240" w:lineRule="auto"/>
        <w:ind w:left="255" w:hanging="125"/>
      </w:pPr>
      <w:r>
        <w:rPr>
          <w:rFonts w:ascii="Arial" w:hAnsi="Arial"/>
          <w:b w:val="0"/>
          <w:i w:val="0"/>
          <w:color w:val="17212B"/>
          <w:sz w:val="17"/>
        </w:rPr>
        <w:t>Shine already markets a dedicated BTP proposition, so strong BTP results may partly reflect an existing strategy or selection effect.</w:t>
      </w:r>
    </w:p>
    <w:p>
      <w:pPr>
        <w:pStyle w:val="ListBullet"/>
        <w:spacing w:after="30" w:line="240" w:lineRule="auto"/>
        <w:ind w:left="255" w:hanging="125"/>
      </w:pPr>
      <w:r>
        <w:rPr>
          <w:rFonts w:ascii="Arial" w:hAnsi="Arial"/>
          <w:b w:val="0"/>
          <w:i w:val="0"/>
          <w:color w:val="17212B"/>
          <w:sz w:val="17"/>
        </w:rPr>
        <w:t>The French construction base is large and small-business-heavy, supporting product fit but not proving unused headroom.</w:t>
      </w:r>
    </w:p>
    <w:p>
      <w:pPr>
        <w:pStyle w:val="ListBullet"/>
        <w:spacing w:after="30" w:line="240" w:lineRule="auto"/>
        <w:ind w:left="255" w:hanging="125"/>
      </w:pPr>
      <w:r>
        <w:rPr>
          <w:rFonts w:ascii="Arial" w:hAnsi="Arial"/>
          <w:b w:val="0"/>
          <w:i w:val="0"/>
          <w:color w:val="17212B"/>
          <w:sz w:val="17"/>
        </w:rPr>
        <w:t>Sector contraction, working-capital needs, and advanced BTP invoicing requirements narrow the ideal customer profile.</w:t>
      </w:r>
    </w:p>
    <w:p>
      <w:pPr>
        <w:pStyle w:val="ListBullet"/>
        <w:spacing w:after="30" w:line="240" w:lineRule="auto"/>
        <w:ind w:left="255" w:hanging="125"/>
      </w:pPr>
      <w:r>
        <w:rPr>
          <w:rFonts w:ascii="Arial" w:hAnsi="Arial"/>
          <w:b w:val="0"/>
          <w:i w:val="0"/>
          <w:color w:val="17212B"/>
          <w:sz w:val="17"/>
        </w:rPr>
        <w:t>Electronic invoicing creates a broader cross-persona trigger that the supplied dataset cannot size.</w:t>
      </w:r>
    </w:p>
    <w:p>
      <w:r>
        <w:br w:type="page"/>
      </w:r>
    </w:p>
    <w:p>
      <w:pPr>
        <w:keepNext/>
        <w:spacing w:before="0" w:after="60"/>
      </w:pPr>
      <w:r>
        <w:rPr>
          <w:rFonts w:ascii="Arial" w:hAnsi="Arial"/>
          <w:b/>
          <w:i w:val="0"/>
          <w:color w:val="102A43"/>
          <w:sz w:val="26"/>
        </w:rPr>
        <w:t>1. Shine's business model and strategic direction</w:t>
      </w:r>
    </w:p>
    <w:p>
      <w:pPr>
        <w:spacing w:after="60" w:line="250" w:lineRule="auto"/>
      </w:pPr>
      <w:r>
        <w:rPr>
          <w:rFonts w:ascii="Arial" w:hAnsi="Arial"/>
          <w:b w:val="0"/>
          <w:i w:val="0"/>
          <w:color w:val="17212B"/>
          <w:sz w:val="18"/>
        </w:rPr>
        <w:t>Shine is an ACPR-authorised payment institution rather than a traditional bank. It combines a French IBAN, cards and transfers with invoicing, receipt management, accounting integrations, expense controls, and administrative tools. It cannot directly provide an authorised overdraft; some financing depends on partners.</w:t>
      </w:r>
    </w:p>
    <w:p>
      <w:pPr>
        <w:spacing w:after="60" w:line="250" w:lineRule="auto"/>
      </w:pPr>
      <w:r>
        <w:rPr>
          <w:rFonts w:ascii="Arial" w:hAnsi="Arial"/>
          <w:b w:val="0"/>
          <w:i w:val="0"/>
          <w:color w:val="17212B"/>
          <w:sz w:val="18"/>
        </w:rPr>
        <w:t>The visible model combines tier subscriptions and usage fees. Current headline monthly prices excluding tax are Free at EUR 0, Start at EUR 9, Plus at EUR 20, and Business at EUR 60, subject to billing terms and annual discounts. Business is a team product with ten premium physical cards, unlimited virtual cards, and higher quotas.</w:t>
      </w:r>
    </w:p>
    <w:p>
      <w:pPr>
        <w:spacing w:after="60" w:line="250" w:lineRule="auto"/>
      </w:pPr>
      <w:r>
        <w:rPr>
          <w:rFonts w:ascii="Arial" w:hAnsi="Arial"/>
          <w:b w:val="0"/>
          <w:i w:val="0"/>
          <w:color w:val="17212B"/>
          <w:sz w:val="18"/>
        </w:rPr>
        <w:t>Following the Ageras acquisition, the direction is broader: a European small-business platform integrating payments, invoicing, accounting, payroll, and tax administration. That favors workflow depth and recurring administrative engagement over competing only as a current account.</w:t>
      </w:r>
    </w:p>
    <w:p>
      <w:pPr>
        <w:spacing w:before="20" w:after="80"/>
      </w:pPr>
      <w:r>
        <w:rPr>
          <w:rFonts w:ascii="Arial" w:hAnsi="Arial"/>
          <w:b/>
          <w:i w:val="0"/>
          <w:color w:val="008C8C"/>
          <w:sz w:val="14"/>
        </w:rPr>
        <w:t xml:space="preserve">Sources: </w:t>
      </w:r>
      <w:hyperlink r:id="rId10">
        <w:r>
          <w:rPr>
            <w:color w:val="008C8C"/>
            <w:u w:val="single"/>
            <w:sz w:val="14"/>
          </w:rPr>
          <w:t>Shine pricing</w:t>
        </w:r>
      </w:hyperlink>
      <w:r>
        <w:rPr>
          <w:rFonts w:ascii="Arial" w:hAnsi="Arial"/>
          <w:b w:val="0"/>
          <w:i w:val="0"/>
          <w:color w:val="5E6C76"/>
          <w:sz w:val="14"/>
        </w:rPr>
        <w:t xml:space="preserve"> • </w:t>
      </w:r>
      <w:hyperlink r:id="rId11">
        <w:r>
          <w:rPr>
            <w:color w:val="008C8C"/>
            <w:u w:val="single"/>
            <w:sz w:val="14"/>
          </w:rPr>
          <w:t>Payment institution</w:t>
        </w:r>
      </w:hyperlink>
      <w:r>
        <w:rPr>
          <w:rFonts w:ascii="Arial" w:hAnsi="Arial"/>
          <w:b w:val="0"/>
          <w:i w:val="0"/>
          <w:color w:val="5E6C76"/>
          <w:sz w:val="14"/>
        </w:rPr>
        <w:t xml:space="preserve"> • </w:t>
      </w:r>
      <w:hyperlink r:id="rId12">
        <w:r>
          <w:rPr>
            <w:color w:val="008C8C"/>
            <w:u w:val="single"/>
            <w:sz w:val="14"/>
          </w:rPr>
          <w:t>Overdraft policy</w:t>
        </w:r>
      </w:hyperlink>
      <w:r>
        <w:rPr>
          <w:rFonts w:ascii="Arial" w:hAnsi="Arial"/>
          <w:b w:val="0"/>
          <w:i w:val="0"/>
          <w:color w:val="5E6C76"/>
          <w:sz w:val="14"/>
        </w:rPr>
        <w:t xml:space="preserve"> • </w:t>
      </w:r>
      <w:hyperlink r:id="rId13">
        <w:r>
          <w:rPr>
            <w:color w:val="008C8C"/>
            <w:u w:val="single"/>
            <w:sz w:val="14"/>
          </w:rPr>
          <w:t>Ageras</w:t>
        </w:r>
      </w:hyperlink>
    </w:p>
    <w:p>
      <w:pPr>
        <w:keepNext/>
        <w:spacing w:before="80" w:after="60"/>
      </w:pPr>
      <w:r>
        <w:rPr>
          <w:rFonts w:ascii="Arial" w:hAnsi="Arial"/>
          <w:b/>
          <w:i w:val="0"/>
          <w:color w:val="102A43"/>
          <w:sz w:val="26"/>
        </w:rPr>
        <w:t>2. Competitive pressure</w:t>
      </w:r>
    </w:p>
    <w:tbl>
      <w:tblPr>
        <w:tblW w:type="auto" w:w="0"/>
        <w:tblLayout w:type="fixed"/>
        <w:tblLook w:firstColumn="1" w:firstRow="1" w:lastColumn="0" w:lastRow="0" w:noHBand="0" w:noVBand="1" w:val="04A0"/>
        <w:tblBorders>
          <w:top w:val="single" w:sz="3" w:color="D8DEE3"/>
          <w:left w:val="single" w:sz="3" w:color="D8DEE3"/>
          <w:bottom w:val="single" w:sz="3" w:color="D8DEE3"/>
          <w:right w:val="single" w:sz="3" w:color="D8DEE3"/>
          <w:insideH w:val="single" w:sz="3" w:color="D8DEE3"/>
          <w:insideV w:val="single" w:sz="3" w:color="D8DEE3"/>
        </w:tblBorders>
      </w:tblPr>
      <w:tblGrid>
        <w:gridCol w:w="2324"/>
        <w:gridCol w:w="3061"/>
        <w:gridCol w:w="4989"/>
      </w:tblGrid>
      <w:tr>
        <w:trPr>
          <w:tblHeader w:val="true"/>
        </w:trPr>
        <w:tc>
          <w:tcPr>
            <w:tcW w:type="dxa" w:w="3496"/>
            <w:shd w:fill="102A43"/>
            <w:tcMar>
              <w:top w:w="75" w:type="dxa"/>
              <w:start w:w="95" w:type="dxa"/>
              <w:bottom w:w="75" w:type="dxa"/>
              <w:end w:w="95" w:type="dxa"/>
            </w:tcMar>
          </w:tcPr>
          <w:p>
            <w:pPr>
              <w:spacing w:after="0" w:line="240" w:lineRule="auto"/>
            </w:pPr>
            <w:r>
              <w:rPr>
                <w:rFonts w:ascii="Arial" w:hAnsi="Arial"/>
                <w:b/>
                <w:i w:val="0"/>
                <w:color w:val="FFFFFF"/>
                <w:sz w:val="16"/>
              </w:rPr>
              <w:t>Provider</w:t>
            </w:r>
          </w:p>
        </w:tc>
        <w:tc>
          <w:tcPr>
            <w:tcW w:type="dxa" w:w="3496"/>
            <w:shd w:fill="102A43"/>
            <w:tcMar>
              <w:top w:w="75" w:type="dxa"/>
              <w:start w:w="95" w:type="dxa"/>
              <w:bottom w:w="75" w:type="dxa"/>
              <w:end w:w="95" w:type="dxa"/>
            </w:tcMar>
          </w:tcPr>
          <w:p>
            <w:pPr>
              <w:spacing w:after="0" w:line="240" w:lineRule="auto"/>
            </w:pPr>
            <w:r>
              <w:rPr>
                <w:rFonts w:ascii="Arial" w:hAnsi="Arial"/>
                <w:b/>
                <w:i w:val="0"/>
                <w:color w:val="FFFFFF"/>
                <w:sz w:val="16"/>
              </w:rPr>
              <w:t>Indicative pricing</w:t>
            </w:r>
          </w:p>
        </w:tc>
        <w:tc>
          <w:tcPr>
            <w:tcW w:type="dxa" w:w="3496"/>
            <w:shd w:fill="102A43"/>
            <w:tcMar>
              <w:top w:w="75" w:type="dxa"/>
              <w:start w:w="95" w:type="dxa"/>
              <w:bottom w:w="75" w:type="dxa"/>
              <w:end w:w="95" w:type="dxa"/>
            </w:tcMar>
          </w:tcPr>
          <w:p>
            <w:pPr>
              <w:spacing w:after="0" w:line="240" w:lineRule="auto"/>
            </w:pPr>
            <w:r>
              <w:rPr>
                <w:rFonts w:ascii="Arial" w:hAnsi="Arial"/>
                <w:b/>
                <w:i w:val="0"/>
                <w:color w:val="FFFFFF"/>
                <w:sz w:val="16"/>
              </w:rPr>
              <w:t>Competitive angle</w:t>
            </w:r>
          </w:p>
        </w:tc>
      </w:tr>
      <w:tr>
        <w:trPr>
          <w:cantSplit/>
        </w:trPr>
        <w:tc>
          <w:tcPr>
            <w:tcW w:type="dxa" w:w="2324"/>
            <w:shd w:fill="FFFFFF"/>
            <w:tcMar>
              <w:top w:w="65" w:type="dxa"/>
              <w:start w:w="90" w:type="dxa"/>
              <w:bottom w:w="65" w:type="dxa"/>
              <w:end w:w="90" w:type="dxa"/>
            </w:tcMar>
          </w:tcPr>
          <w:p>
            <w:pPr>
              <w:spacing w:after="0" w:line="240" w:lineRule="auto"/>
            </w:pPr>
            <w:r>
              <w:rPr>
                <w:rFonts w:ascii="Arial" w:hAnsi="Arial"/>
                <w:b/>
                <w:i w:val="0"/>
                <w:color w:val="102A43"/>
                <w:sz w:val="15"/>
              </w:rPr>
              <w:t>Shine</w:t>
            </w:r>
          </w:p>
        </w:tc>
        <w:tc>
          <w:tcPr>
            <w:tcW w:type="dxa" w:w="3061"/>
            <w:shd w:fill="FFFFFF"/>
            <w:tcMar>
              <w:top w:w="65" w:type="dxa"/>
              <w:start w:w="90" w:type="dxa"/>
              <w:bottom w:w="65" w:type="dxa"/>
              <w:end w:w="90" w:type="dxa"/>
            </w:tcMar>
          </w:tcPr>
          <w:p>
            <w:pPr>
              <w:spacing w:after="0" w:line="240" w:lineRule="auto"/>
            </w:pPr>
            <w:r>
              <w:rPr>
                <w:rFonts w:ascii="Arial" w:hAnsi="Arial"/>
                <w:b w:val="0"/>
                <w:i w:val="0"/>
                <w:color w:val="17212B"/>
                <w:sz w:val="15"/>
              </w:rPr>
              <w:t>Free; EUR 9; EUR 20; EUR 60</w:t>
            </w:r>
          </w:p>
        </w:tc>
        <w:tc>
          <w:tcPr>
            <w:tcW w:type="dxa" w:w="4989"/>
            <w:shd w:fill="FFFFFF"/>
            <w:tcMar>
              <w:top w:w="65" w:type="dxa"/>
              <w:start w:w="90" w:type="dxa"/>
              <w:bottom w:w="65" w:type="dxa"/>
              <w:end w:w="90" w:type="dxa"/>
            </w:tcMar>
          </w:tcPr>
          <w:p>
            <w:pPr>
              <w:spacing w:after="0" w:line="240" w:lineRule="auto"/>
            </w:pPr>
            <w:r>
              <w:rPr>
                <w:rFonts w:ascii="Arial" w:hAnsi="Arial"/>
                <w:b w:val="0"/>
                <w:i w:val="0"/>
                <w:color w:val="17212B"/>
                <w:sz w:val="15"/>
              </w:rPr>
              <w:t>French service, invoicing, administration, BTP proposition</w:t>
            </w:r>
          </w:p>
        </w:tc>
      </w:tr>
      <w:tr>
        <w:trPr>
          <w:cantSplit/>
        </w:trPr>
        <w:tc>
          <w:tcPr>
            <w:tcW w:type="dxa" w:w="2324"/>
            <w:shd w:fill="F3F5F7"/>
            <w:tcMar>
              <w:top w:w="65" w:type="dxa"/>
              <w:start w:w="90" w:type="dxa"/>
              <w:bottom w:w="65" w:type="dxa"/>
              <w:end w:w="90" w:type="dxa"/>
            </w:tcMar>
          </w:tcPr>
          <w:p>
            <w:pPr>
              <w:spacing w:after="0" w:line="240" w:lineRule="auto"/>
            </w:pPr>
            <w:r>
              <w:rPr>
                <w:rFonts w:ascii="Arial" w:hAnsi="Arial"/>
                <w:b/>
                <w:i w:val="0"/>
                <w:color w:val="102A43"/>
                <w:sz w:val="15"/>
              </w:rPr>
              <w:t>Qonto</w:t>
            </w:r>
          </w:p>
        </w:tc>
        <w:tc>
          <w:tcPr>
            <w:tcW w:type="dxa" w:w="3061"/>
            <w:shd w:fill="F3F5F7"/>
            <w:tcMar>
              <w:top w:w="65" w:type="dxa"/>
              <w:start w:w="90" w:type="dxa"/>
              <w:bottom w:w="65" w:type="dxa"/>
              <w:end w:w="90" w:type="dxa"/>
            </w:tcMar>
          </w:tcPr>
          <w:p>
            <w:pPr>
              <w:spacing w:after="0" w:line="240" w:lineRule="auto"/>
            </w:pPr>
            <w:r>
              <w:rPr>
                <w:rFonts w:ascii="Arial" w:hAnsi="Arial"/>
                <w:b w:val="0"/>
                <w:i w:val="0"/>
                <w:color w:val="17212B"/>
                <w:sz w:val="15"/>
              </w:rPr>
              <w:t>EUR 9; EUR 19; EUR 39</w:t>
            </w:r>
          </w:p>
        </w:tc>
        <w:tc>
          <w:tcPr>
            <w:tcW w:type="dxa" w:w="4989"/>
            <w:shd w:fill="F3F5F7"/>
            <w:tcMar>
              <w:top w:w="65" w:type="dxa"/>
              <w:start w:w="90" w:type="dxa"/>
              <w:bottom w:w="65" w:type="dxa"/>
              <w:end w:w="90" w:type="dxa"/>
            </w:tcMar>
          </w:tcPr>
          <w:p>
            <w:pPr>
              <w:spacing w:after="0" w:line="240" w:lineRule="auto"/>
            </w:pPr>
            <w:r>
              <w:rPr>
                <w:rFonts w:ascii="Arial" w:hAnsi="Arial"/>
                <w:b w:val="0"/>
                <w:i w:val="0"/>
                <w:color w:val="17212B"/>
                <w:sz w:val="15"/>
              </w:rPr>
              <w:t>Accounting integration, cash-flow tools, expense management</w:t>
            </w:r>
          </w:p>
        </w:tc>
      </w:tr>
      <w:tr>
        <w:trPr>
          <w:cantSplit/>
        </w:trPr>
        <w:tc>
          <w:tcPr>
            <w:tcW w:type="dxa" w:w="2324"/>
            <w:shd w:fill="FFFFFF"/>
            <w:tcMar>
              <w:top w:w="65" w:type="dxa"/>
              <w:start w:w="90" w:type="dxa"/>
              <w:bottom w:w="65" w:type="dxa"/>
              <w:end w:w="90" w:type="dxa"/>
            </w:tcMar>
          </w:tcPr>
          <w:p>
            <w:pPr>
              <w:spacing w:after="0" w:line="240" w:lineRule="auto"/>
            </w:pPr>
            <w:r>
              <w:rPr>
                <w:rFonts w:ascii="Arial" w:hAnsi="Arial"/>
                <w:b/>
                <w:i w:val="0"/>
                <w:color w:val="102A43"/>
                <w:sz w:val="15"/>
              </w:rPr>
              <w:t>Indy</w:t>
            </w:r>
          </w:p>
        </w:tc>
        <w:tc>
          <w:tcPr>
            <w:tcW w:type="dxa" w:w="3061"/>
            <w:shd w:fill="FFFFFF"/>
            <w:tcMar>
              <w:top w:w="65" w:type="dxa"/>
              <w:start w:w="90" w:type="dxa"/>
              <w:bottom w:w="65" w:type="dxa"/>
              <w:end w:w="90" w:type="dxa"/>
            </w:tcMar>
          </w:tcPr>
          <w:p>
            <w:pPr>
              <w:spacing w:after="0" w:line="240" w:lineRule="auto"/>
            </w:pPr>
            <w:r>
              <w:rPr>
                <w:rFonts w:ascii="Arial" w:hAnsi="Arial"/>
                <w:b w:val="0"/>
                <w:i w:val="0"/>
                <w:color w:val="17212B"/>
                <w:sz w:val="15"/>
              </w:rPr>
              <w:t>Core account free; Premium from EUR 12</w:t>
            </w:r>
          </w:p>
        </w:tc>
        <w:tc>
          <w:tcPr>
            <w:tcW w:type="dxa" w:w="4989"/>
            <w:shd w:fill="FFFFFF"/>
            <w:tcMar>
              <w:top w:w="65" w:type="dxa"/>
              <w:start w:w="90" w:type="dxa"/>
              <w:bottom w:w="65" w:type="dxa"/>
              <w:end w:w="90" w:type="dxa"/>
            </w:tcMar>
          </w:tcPr>
          <w:p>
            <w:pPr>
              <w:spacing w:after="0" w:line="240" w:lineRule="auto"/>
            </w:pPr>
            <w:r>
              <w:rPr>
                <w:rFonts w:ascii="Arial" w:hAnsi="Arial"/>
                <w:b w:val="0"/>
                <w:i w:val="0"/>
                <w:color w:val="17212B"/>
                <w:sz w:val="15"/>
              </w:rPr>
              <w:t>Free account integrated with accounting and declarations</w:t>
            </w:r>
          </w:p>
        </w:tc>
      </w:tr>
      <w:tr>
        <w:trPr>
          <w:cantSplit/>
        </w:trPr>
        <w:tc>
          <w:tcPr>
            <w:tcW w:type="dxa" w:w="2324"/>
            <w:shd w:fill="F3F5F7"/>
            <w:tcMar>
              <w:top w:w="65" w:type="dxa"/>
              <w:start w:w="90" w:type="dxa"/>
              <w:bottom w:w="65" w:type="dxa"/>
              <w:end w:w="90" w:type="dxa"/>
            </w:tcMar>
          </w:tcPr>
          <w:p>
            <w:pPr>
              <w:spacing w:after="0" w:line="240" w:lineRule="auto"/>
            </w:pPr>
            <w:r>
              <w:rPr>
                <w:rFonts w:ascii="Arial" w:hAnsi="Arial"/>
                <w:b/>
                <w:i w:val="0"/>
                <w:color w:val="102A43"/>
                <w:sz w:val="15"/>
              </w:rPr>
              <w:t>Revolut Business</w:t>
            </w:r>
          </w:p>
        </w:tc>
        <w:tc>
          <w:tcPr>
            <w:tcW w:type="dxa" w:w="3061"/>
            <w:shd w:fill="F3F5F7"/>
            <w:tcMar>
              <w:top w:w="65" w:type="dxa"/>
              <w:start w:w="90" w:type="dxa"/>
              <w:bottom w:w="65" w:type="dxa"/>
              <w:end w:w="90" w:type="dxa"/>
            </w:tcMar>
          </w:tcPr>
          <w:p>
            <w:pPr>
              <w:spacing w:after="0" w:line="240" w:lineRule="auto"/>
            </w:pPr>
            <w:r>
              <w:rPr>
                <w:rFonts w:ascii="Arial" w:hAnsi="Arial"/>
                <w:b w:val="0"/>
                <w:i w:val="0"/>
                <w:color w:val="17212B"/>
                <w:sz w:val="15"/>
              </w:rPr>
              <w:t>EUR 10; EUR 35; EUR 125</w:t>
            </w:r>
          </w:p>
        </w:tc>
        <w:tc>
          <w:tcPr>
            <w:tcW w:type="dxa" w:w="4989"/>
            <w:shd w:fill="F3F5F7"/>
            <w:tcMar>
              <w:top w:w="65" w:type="dxa"/>
              <w:start w:w="90" w:type="dxa"/>
              <w:bottom w:w="65" w:type="dxa"/>
              <w:end w:w="90" w:type="dxa"/>
            </w:tcMar>
          </w:tcPr>
          <w:p>
            <w:pPr>
              <w:spacing w:after="0" w:line="240" w:lineRule="auto"/>
            </w:pPr>
            <w:r>
              <w:rPr>
                <w:rFonts w:ascii="Arial" w:hAnsi="Arial"/>
                <w:b w:val="0"/>
                <w:i w:val="0"/>
                <w:color w:val="17212B"/>
                <w:sz w:val="15"/>
              </w:rPr>
              <w:t>International payments, FX, team controls</w:t>
            </w:r>
          </w:p>
        </w:tc>
      </w:tr>
    </w:tbl>
    <w:p>
      <w:pPr>
        <w:spacing w:after="60" w:line="250" w:lineRule="auto"/>
      </w:pPr>
      <w:r>
        <w:rPr>
          <w:rFonts w:ascii="Arial" w:hAnsi="Arial"/>
          <w:b w:val="0"/>
          <w:i w:val="0"/>
          <w:color w:val="5E6C76"/>
          <w:sz w:val="16"/>
        </w:rPr>
        <w:t>Prices are not perfectly comparable: cards, quotas, billing periods, support, and included software differ. The strategic signal is that basic banking and e-invoicing are crowded; differentiation must come from workflow depth, service, or vertical relevance.</w:t>
      </w:r>
    </w:p>
    <w:p>
      <w:pPr>
        <w:spacing w:before="20" w:after="80"/>
      </w:pPr>
      <w:r>
        <w:rPr>
          <w:rFonts w:ascii="Arial" w:hAnsi="Arial"/>
          <w:b/>
          <w:i w:val="0"/>
          <w:color w:val="008C8C"/>
          <w:sz w:val="14"/>
        </w:rPr>
        <w:t xml:space="preserve">Sources: </w:t>
      </w:r>
      <w:hyperlink r:id="rId14">
        <w:r>
          <w:rPr>
            <w:color w:val="008C8C"/>
            <w:u w:val="single"/>
            <w:sz w:val="14"/>
          </w:rPr>
          <w:t>Qonto</w:t>
        </w:r>
      </w:hyperlink>
      <w:r>
        <w:rPr>
          <w:rFonts w:ascii="Arial" w:hAnsi="Arial"/>
          <w:b w:val="0"/>
          <w:i w:val="0"/>
          <w:color w:val="5E6C76"/>
          <w:sz w:val="14"/>
        </w:rPr>
        <w:t xml:space="preserve"> • </w:t>
      </w:r>
      <w:hyperlink r:id="rId15">
        <w:r>
          <w:rPr>
            <w:color w:val="008C8C"/>
            <w:u w:val="single"/>
            <w:sz w:val="14"/>
          </w:rPr>
          <w:t>Indy</w:t>
        </w:r>
      </w:hyperlink>
      <w:r>
        <w:rPr>
          <w:rFonts w:ascii="Arial" w:hAnsi="Arial"/>
          <w:b w:val="0"/>
          <w:i w:val="0"/>
          <w:color w:val="5E6C76"/>
          <w:sz w:val="14"/>
        </w:rPr>
        <w:t xml:space="preserve"> • </w:t>
      </w:r>
      <w:hyperlink r:id="rId16">
        <w:r>
          <w:rPr>
            <w:color w:val="008C8C"/>
            <w:u w:val="single"/>
            <w:sz w:val="14"/>
          </w:rPr>
          <w:t>Revolut</w:t>
        </w:r>
      </w:hyperlink>
    </w:p>
    <w:p>
      <w:r>
        <w:br w:type="page"/>
      </w:r>
    </w:p>
    <w:p>
      <w:pPr>
        <w:keepNext/>
        <w:spacing w:before="0" w:after="60"/>
      </w:pPr>
      <w:r>
        <w:rPr>
          <w:rFonts w:ascii="Arial" w:hAnsi="Arial"/>
          <w:b/>
          <w:i w:val="0"/>
          <w:color w:val="102A43"/>
          <w:sz w:val="26"/>
        </w:rPr>
        <w:t>3. BTP: substantial opportunity, bounded fit</w:t>
      </w:r>
    </w:p>
    <w:tbl>
      <w:tblPr>
        <w:tblW w:type="auto" w:w="0"/>
        <w:tblLayout w:type="fixed"/>
        <w:tblLook w:firstColumn="1" w:firstRow="1" w:lastColumn="0" w:lastRow="0" w:noHBand="0" w:noVBand="1" w:val="04A0"/>
        <w:tblBorders>
          <w:top w:val="single" w:sz="7" w:color="FFFFFF"/>
          <w:left w:val="single" w:sz="7" w:color="FFFFFF"/>
          <w:bottom w:val="single" w:sz="7" w:color="FFFFFF"/>
          <w:right w:val="single" w:sz="7" w:color="FFFFFF"/>
          <w:insideH w:val="single" w:sz="7" w:color="FFFFFF"/>
          <w:insideV w:val="single" w:sz="7" w:color="FFFFFF"/>
        </w:tblBorders>
      </w:tblPr>
      <w:tblGrid>
        <w:gridCol w:w="5187"/>
        <w:gridCol w:w="5187"/>
      </w:tblGrid>
      <w:tr>
        <w:tc>
          <w:tcPr>
            <w:tcW w:type="dxa" w:w="5244"/>
            <w:tcMar>
              <w:top w:w="125" w:type="dxa"/>
              <w:start w:w="145" w:type="dxa"/>
              <w:bottom w:w="125" w:type="dxa"/>
              <w:end w:w="145" w:type="dxa"/>
            </w:tcMar>
            <w:vAlign w:val="top"/>
            <w:shd w:fill="EAF4F4"/>
          </w:tcPr>
          <w:p>
            <w:pPr>
              <w:spacing w:after="40" w:line="240" w:lineRule="auto"/>
            </w:pPr>
            <w:r>
              <w:rPr>
                <w:rFonts w:ascii="Arial" w:hAnsi="Arial"/>
                <w:b/>
                <w:i w:val="0"/>
                <w:color w:val="008C8C"/>
                <w:sz w:val="20"/>
              </w:rPr>
              <w:t>Why it can scale</w:t>
            </w:r>
          </w:p>
          <w:p>
            <w:pPr>
              <w:spacing w:after="40" w:line="240" w:lineRule="auto"/>
            </w:pPr>
            <w:r>
              <w:rPr>
                <w:rFonts w:ascii="Arial" w:hAnsi="Arial"/>
                <w:b w:val="0"/>
                <w:i w:val="0"/>
                <w:color w:val="17212B"/>
                <w:sz w:val="16"/>
              </w:rPr>
              <w:t>• 650,207 active construction legal entities in France in 2024.</w:t>
            </w:r>
          </w:p>
          <w:p>
            <w:pPr>
              <w:spacing w:after="40" w:line="240" w:lineRule="auto"/>
            </w:pPr>
            <w:r>
              <w:rPr>
                <w:rFonts w:ascii="Arial" w:hAnsi="Arial"/>
                <w:b w:val="0"/>
                <w:i w:val="0"/>
                <w:color w:val="17212B"/>
                <w:sz w:val="16"/>
              </w:rPr>
              <w:t>• Approximately 95% of building businesses are artisan-sized.</w:t>
            </w:r>
          </w:p>
          <w:p>
            <w:pPr>
              <w:spacing w:after="40" w:line="240" w:lineRule="auto"/>
            </w:pPr>
            <w:r>
              <w:rPr>
                <w:rFonts w:ascii="Arial" w:hAnsi="Arial"/>
                <w:b w:val="0"/>
                <w:i w:val="0"/>
                <w:color w:val="17212B"/>
                <w:sz w:val="16"/>
              </w:rPr>
              <w:t>• Strong fit with mobile banking, invoices, collections, expense cards, subaccounts, and accounting.</w:t>
            </w:r>
          </w:p>
          <w:p>
            <w:pPr>
              <w:spacing w:after="40" w:line="240" w:lineRule="auto"/>
            </w:pPr>
            <w:r>
              <w:rPr>
                <w:rFonts w:ascii="Arial" w:hAnsi="Arial"/>
                <w:b w:val="0"/>
                <w:i w:val="0"/>
                <w:color w:val="17212B"/>
                <w:sz w:val="16"/>
              </w:rPr>
              <w:t>• BTP combines scale and above-average Shine revenue in the dataset.</w:t>
            </w:r>
          </w:p>
        </w:tc>
        <w:tc>
          <w:tcPr>
            <w:tcW w:type="dxa" w:w="5244"/>
            <w:tcMar>
              <w:top w:w="125" w:type="dxa"/>
              <w:start w:w="145" w:type="dxa"/>
              <w:bottom w:w="125" w:type="dxa"/>
              <w:end w:w="145" w:type="dxa"/>
            </w:tcMar>
            <w:vAlign w:val="top"/>
            <w:shd w:fill="F3F5F7"/>
          </w:tcPr>
          <w:p>
            <w:pPr>
              <w:spacing w:after="40" w:line="240" w:lineRule="auto"/>
            </w:pPr>
            <w:r>
              <w:rPr>
                <w:rFonts w:ascii="Arial" w:hAnsi="Arial"/>
                <w:b/>
                <w:i w:val="0"/>
                <w:color w:val="C95C3D"/>
                <w:sz w:val="20"/>
              </w:rPr>
              <w:t>What caps it</w:t>
            </w:r>
          </w:p>
          <w:p>
            <w:pPr>
              <w:spacing w:after="40" w:line="240" w:lineRule="auto"/>
            </w:pPr>
            <w:r>
              <w:rPr>
                <w:rFonts w:ascii="Arial" w:hAnsi="Arial"/>
                <w:b w:val="0"/>
                <w:i w:val="0"/>
                <w:color w:val="17212B"/>
                <w:sz w:val="16"/>
              </w:rPr>
              <w:t>• Artisan activity fell 3.8% in 2025 and remained down 1.5% YoY in Q1 2026.</w:t>
            </w:r>
          </w:p>
          <w:p>
            <w:pPr>
              <w:spacing w:after="40" w:line="240" w:lineRule="auto"/>
            </w:pPr>
            <w:r>
              <w:rPr>
                <w:rFonts w:ascii="Arial" w:hAnsi="Arial"/>
                <w:b w:val="0"/>
                <w:i w:val="0"/>
                <w:color w:val="17212B"/>
                <w:sz w:val="16"/>
              </w:rPr>
              <w:t>• Shine cannot directly provide an authorised overdraft.</w:t>
            </w:r>
          </w:p>
          <w:p>
            <w:pPr>
              <w:spacing w:after="40" w:line="240" w:lineRule="auto"/>
            </w:pPr>
            <w:r>
              <w:rPr>
                <w:rFonts w:ascii="Arial" w:hAnsi="Arial"/>
                <w:b w:val="0"/>
                <w:i w:val="0"/>
                <w:color w:val="17212B"/>
                <w:sz w:val="16"/>
              </w:rPr>
              <w:t>• Advanced progress billing, retention guarantees, and public contracts are only partly supported.</w:t>
            </w:r>
          </w:p>
          <w:p>
            <w:pPr>
              <w:spacing w:after="40" w:line="240" w:lineRule="auto"/>
            </w:pPr>
            <w:r>
              <w:rPr>
                <w:rFonts w:ascii="Arial" w:hAnsi="Arial"/>
                <w:b w:val="0"/>
                <w:i w:val="0"/>
                <w:color w:val="17212B"/>
                <w:sz w:val="16"/>
              </w:rPr>
              <w:t>• Existing BTP marketing creates acquisition-channel and selection ambiguity.</w:t>
            </w:r>
          </w:p>
        </w:tc>
      </w:tr>
    </w:tbl>
    <w:p>
      <w:pPr>
        <w:keepNext/>
        <w:spacing w:before="80" w:after="60"/>
      </w:pPr>
      <w:r>
        <w:rPr>
          <w:rFonts w:ascii="Arial" w:hAnsi="Arial"/>
          <w:b/>
          <w:i w:val="0"/>
          <w:color w:val="102A43"/>
          <w:sz w:val="21"/>
        </w:rPr>
        <w:t>Ideal customer profile</w:t>
      </w:r>
    </w:p>
    <w:p>
      <w:pPr>
        <w:spacing w:after="60" w:line="250" w:lineRule="auto"/>
      </w:pPr>
      <w:r>
        <w:rPr>
          <w:rFonts w:ascii="Arial" w:hAnsi="Arial"/>
          <w:b w:val="0"/>
          <w:i w:val="0"/>
          <w:color w:val="17212B"/>
          <w:sz w:val="18"/>
        </w:rPr>
        <w:t>Independent tradespeople and small crews, digitally operated, with relatively simple projects, repeat invoicing and expense-management needs, and moderate direct-financing requirements. Larger contractors, long-project businesses, public-works specialists, and firms dependent on overdrafts are a less certain fit.</w:t>
      </w:r>
    </w:p>
    <w:p>
      <w:pPr>
        <w:spacing w:before="20" w:after="80"/>
      </w:pPr>
      <w:r>
        <w:rPr>
          <w:rFonts w:ascii="Arial" w:hAnsi="Arial"/>
          <w:b/>
          <w:i w:val="0"/>
          <w:color w:val="008C8C"/>
          <w:sz w:val="14"/>
        </w:rPr>
        <w:t xml:space="preserve">Sources: </w:t>
      </w:r>
      <w:hyperlink r:id="rId17">
        <w:r>
          <w:rPr>
            <w:color w:val="008C8C"/>
            <w:u w:val="single"/>
            <w:sz w:val="14"/>
          </w:rPr>
          <w:t>INSEE base</w:t>
        </w:r>
      </w:hyperlink>
      <w:r>
        <w:rPr>
          <w:rFonts w:ascii="Arial" w:hAnsi="Arial"/>
          <w:b w:val="0"/>
          <w:i w:val="0"/>
          <w:color w:val="5E6C76"/>
          <w:sz w:val="14"/>
        </w:rPr>
        <w:t xml:space="preserve"> • </w:t>
      </w:r>
      <w:hyperlink r:id="rId18">
        <w:r>
          <w:rPr>
            <w:color w:val="008C8C"/>
            <w:u w:val="single"/>
            <w:sz w:val="14"/>
          </w:rPr>
          <w:t>FFB</w:t>
        </w:r>
      </w:hyperlink>
      <w:r>
        <w:rPr>
          <w:rFonts w:ascii="Arial" w:hAnsi="Arial"/>
          <w:b w:val="0"/>
          <w:i w:val="0"/>
          <w:color w:val="5E6C76"/>
          <w:sz w:val="14"/>
        </w:rPr>
        <w:t xml:space="preserve"> • </w:t>
      </w:r>
      <w:hyperlink r:id="rId19">
        <w:r>
          <w:rPr>
            <w:color w:val="008C8C"/>
            <w:u w:val="single"/>
            <w:sz w:val="14"/>
          </w:rPr>
          <w:t>CAPEB</w:t>
        </w:r>
      </w:hyperlink>
      <w:r>
        <w:rPr>
          <w:rFonts w:ascii="Arial" w:hAnsi="Arial"/>
          <w:b w:val="0"/>
          <w:i w:val="0"/>
          <w:color w:val="5E6C76"/>
          <w:sz w:val="14"/>
        </w:rPr>
        <w:t xml:space="preserve"> • </w:t>
      </w:r>
      <w:hyperlink r:id="rId20">
        <w:r>
          <w:rPr>
            <w:color w:val="008C8C"/>
            <w:u w:val="single"/>
            <w:sz w:val="14"/>
          </w:rPr>
          <w:t>Shine BTP</w:t>
        </w:r>
      </w:hyperlink>
      <w:r>
        <w:rPr>
          <w:rFonts w:ascii="Arial" w:hAnsi="Arial"/>
          <w:b w:val="0"/>
          <w:i w:val="0"/>
          <w:color w:val="5E6C76"/>
          <w:sz w:val="14"/>
        </w:rPr>
        <w:t xml:space="preserve"> • </w:t>
      </w:r>
      <w:hyperlink r:id="rId21">
        <w:r>
          <w:rPr>
            <w:color w:val="008C8C"/>
            <w:u w:val="single"/>
            <w:sz w:val="14"/>
          </w:rPr>
          <w:t>BTP invoicing limits</w:t>
        </w:r>
      </w:hyperlink>
    </w:p>
    <w:p>
      <w:pPr>
        <w:keepNext/>
        <w:spacing w:before="80" w:after="60"/>
      </w:pPr>
      <w:r>
        <w:rPr>
          <w:rFonts w:ascii="Arial" w:hAnsi="Arial"/>
          <w:b/>
          <w:i w:val="0"/>
          <w:color w:val="102A43"/>
          <w:sz w:val="26"/>
        </w:rPr>
        <w:t>4. Broader market and regulatory trigger</w:t>
      </w:r>
    </w:p>
    <w:p>
      <w:pPr>
        <w:spacing w:after="60" w:line="250" w:lineRule="auto"/>
      </w:pPr>
      <w:r>
        <w:rPr>
          <w:rFonts w:ascii="Arial" w:hAnsi="Arial"/>
          <w:b w:val="0"/>
          <w:i w:val="0"/>
          <w:color w:val="17212B"/>
          <w:sz w:val="17"/>
        </w:rPr>
        <w:t>France recorded 1.166 million company creations in 2025, including approximately 759,000 micro-entrepreneurs. Construction created 85,600 businesses but declined 3.8%, while faster-growing sectors included commerce and information and communication. BTP should therefore not consume the entire growth narrative.</w:t>
      </w:r>
    </w:p>
    <w:p>
      <w:pPr>
        <w:spacing w:after="60" w:line="250" w:lineRule="auto"/>
      </w:pPr>
      <w:r>
        <w:rPr>
          <w:rFonts w:ascii="Arial" w:hAnsi="Arial"/>
          <w:b w:val="0"/>
          <w:i w:val="0"/>
          <w:color w:val="17212B"/>
          <w:sz w:val="17"/>
        </w:rPr>
        <w:t>From 1 September 2026, all French businesses must receive electronic invoices; from 1 September 2027, SMEs and microbusinesses must issue them. Shine is an accredited platform and includes the service in every plan. Compliance is table stakes; the opportunity is the connected workflow—invoice, collect, reconcile, monitor cash flow, and prepare accounting.</w:t>
      </w:r>
    </w:p>
    <w:p>
      <w:pPr>
        <w:spacing w:before="20" w:after="80"/>
      </w:pPr>
      <w:r>
        <w:rPr>
          <w:rFonts w:ascii="Arial" w:hAnsi="Arial"/>
          <w:b/>
          <w:i w:val="0"/>
          <w:color w:val="008C8C"/>
          <w:sz w:val="14"/>
        </w:rPr>
        <w:t xml:space="preserve">Sources: </w:t>
      </w:r>
      <w:hyperlink r:id="rId22">
        <w:r>
          <w:rPr>
            <w:color w:val="008C8C"/>
            <w:u w:val="single"/>
            <w:sz w:val="14"/>
          </w:rPr>
          <w:t>INSEE creations</w:t>
        </w:r>
      </w:hyperlink>
      <w:r>
        <w:rPr>
          <w:rFonts w:ascii="Arial" w:hAnsi="Arial"/>
          <w:b w:val="0"/>
          <w:i w:val="0"/>
          <w:color w:val="5E6C76"/>
          <w:sz w:val="14"/>
        </w:rPr>
        <w:t xml:space="preserve"> • </w:t>
      </w:r>
      <w:hyperlink r:id="rId23">
        <w:r>
          <w:rPr>
            <w:color w:val="008C8C"/>
            <w:u w:val="single"/>
            <w:sz w:val="14"/>
          </w:rPr>
          <w:t>Government calendar</w:t>
        </w:r>
      </w:hyperlink>
      <w:r>
        <w:rPr>
          <w:rFonts w:ascii="Arial" w:hAnsi="Arial"/>
          <w:b w:val="0"/>
          <w:i w:val="0"/>
          <w:color w:val="5E6C76"/>
          <w:sz w:val="14"/>
        </w:rPr>
        <w:t xml:space="preserve"> • </w:t>
      </w:r>
      <w:hyperlink r:id="rId24">
        <w:r>
          <w:rPr>
            <w:color w:val="008C8C"/>
            <w:u w:val="single"/>
            <w:sz w:val="14"/>
          </w:rPr>
          <w:t>Shine accreditation</w:t>
        </w:r>
      </w:hyperlink>
    </w:p>
    <w:p>
      <w:r>
        <w:br w:type="page"/>
      </w:r>
    </w:p>
    <w:p>
      <w:pPr>
        <w:keepNext/>
        <w:spacing w:before="0" w:after="60"/>
      </w:pPr>
      <w:r>
        <w:rPr>
          <w:rFonts w:ascii="Arial" w:hAnsi="Arial"/>
          <w:b/>
          <w:i w:val="0"/>
          <w:color w:val="102A43"/>
          <w:sz w:val="26"/>
        </w:rPr>
        <w:t>5. Revised ranked recommendation</w:t>
      </w:r>
    </w:p>
    <w:tbl>
      <w:tblPr>
        <w:tblW w:type="auto" w:w="0"/>
        <w:tblLayout w:type="fixed"/>
        <w:tblLook w:firstColumn="1" w:firstRow="1" w:lastColumn="0" w:lastRow="0" w:noHBand="0" w:noVBand="1" w:val="04A0"/>
        <w:tblBorders>
          <w:top w:val="single" w:sz="7" w:color="FFFFFF"/>
          <w:left w:val="single" w:sz="7" w:color="FFFFFF"/>
          <w:bottom w:val="single" w:sz="7" w:color="FFFFFF"/>
          <w:right w:val="single" w:sz="7" w:color="FFFFFF"/>
          <w:insideH w:val="single" w:sz="7" w:color="FFFFFF"/>
          <w:insideV w:val="single" w:sz="7" w:color="FFFFFF"/>
        </w:tblBorders>
      </w:tblPr>
      <w:tblGrid>
        <w:gridCol w:w="624"/>
        <w:gridCol w:w="2835"/>
        <w:gridCol w:w="6917"/>
      </w:tblGrid>
      <w:tr>
        <w:tc>
          <w:tcPr>
            <w:tcW w:type="dxa" w:w="3496"/>
            <w:tcMar>
              <w:top w:w="100" w:type="dxa"/>
              <w:start w:w="120" w:type="dxa"/>
              <w:bottom w:w="100" w:type="dxa"/>
              <w:end w:w="120" w:type="dxa"/>
            </w:tcMar>
            <w:shd w:fill="008C8C"/>
          </w:tcPr>
          <w:p>
            <w:pPr>
              <w:jc w:val="center"/>
            </w:pPr>
            <w:r>
              <w:rPr>
                <w:rFonts w:ascii="Arial" w:hAnsi="Arial"/>
                <w:b/>
                <w:i w:val="0"/>
                <w:color w:val="FFFFFF"/>
                <w:sz w:val="32"/>
              </w:rPr>
              <w:t>1</w:t>
            </w:r>
          </w:p>
        </w:tc>
        <w:tc>
          <w:tcPr>
            <w:tcW w:type="dxa" w:w="3496"/>
            <w:tcMar>
              <w:top w:w="100" w:type="dxa"/>
              <w:start w:w="120" w:type="dxa"/>
              <w:bottom w:w="100" w:type="dxa"/>
              <w:end w:w="120" w:type="dxa"/>
            </w:tcMar>
            <w:shd w:fill="EAF4F4"/>
          </w:tcPr>
          <w:p>
            <w:pPr>
              <w:spacing w:after="40" w:line="240" w:lineRule="auto"/>
            </w:pPr>
            <w:r>
              <w:rPr>
                <w:rFonts w:ascii="Arial" w:hAnsi="Arial"/>
                <w:b/>
                <w:i w:val="0"/>
                <w:color w:val="102A43"/>
                <w:sz w:val="18"/>
              </w:rPr>
              <w:t>BTP-fit activation &amp; monetization</w:t>
            </w:r>
          </w:p>
          <w:p>
            <w:pPr>
              <w:spacing w:after="0" w:line="240" w:lineRule="auto"/>
            </w:pPr>
            <w:r>
              <w:rPr>
                <w:rFonts w:ascii="Arial" w:hAnsi="Arial"/>
                <w:b w:val="0"/>
                <w:i w:val="0"/>
                <w:color w:val="17212B"/>
                <w:sz w:val="16"/>
              </w:rPr>
              <w:t>Test an integrated workflow around e-invoicing, collection, expense controls, cash-flow signals, and appropriate partner services among suitable tradespeople and small crews.</w:t>
            </w:r>
          </w:p>
        </w:tc>
        <w:tc>
          <w:tcPr>
            <w:tcW w:type="dxa" w:w="3496"/>
            <w:tcMar>
              <w:top w:w="100" w:type="dxa"/>
              <w:start w:w="120" w:type="dxa"/>
              <w:bottom w:w="100" w:type="dxa"/>
              <w:end w:w="120" w:type="dxa"/>
            </w:tcMar>
          </w:tcPr>
          <w:p>
            <w:pPr>
              <w:spacing w:after="40" w:line="240" w:lineRule="auto"/>
            </w:pPr>
            <w:r>
              <w:rPr>
                <w:rFonts w:ascii="Arial" w:hAnsi="Arial"/>
                <w:b/>
                <w:i w:val="0"/>
                <w:color w:val="008C8C"/>
                <w:sz w:val="17"/>
              </w:rPr>
              <w:t>Decision rule</w:t>
            </w:r>
          </w:p>
          <w:p>
            <w:pPr>
              <w:spacing w:after="0" w:line="240" w:lineRule="auto"/>
            </w:pPr>
            <w:r>
              <w:rPr>
                <w:rFonts w:ascii="Arial" w:hAnsi="Arial"/>
                <w:b w:val="0"/>
                <w:i w:val="0"/>
                <w:color w:val="17212B"/>
                <w:sz w:val="16"/>
              </w:rPr>
              <w:t>Randomise against business-as-usual. Scale within BTP only if incremental contribution exceeds treatment and servicing cost with no material guardrail deterioration. Test transferability before expanding to other personas.</w:t>
            </w:r>
          </w:p>
        </w:tc>
      </w:tr>
    </w:tbl>
    <w:p>
      <w:pPr>
        <w:spacing w:after="0"/>
      </w:pPr>
    </w:p>
    <w:tbl>
      <w:tblPr>
        <w:tblW w:type="auto" w:w="0"/>
        <w:tblLayout w:type="fixed"/>
        <w:tblLook w:firstColumn="1" w:firstRow="1" w:lastColumn="0" w:lastRow="0" w:noHBand="0" w:noVBand="1" w:val="04A0"/>
        <w:tblBorders>
          <w:top w:val="single" w:sz="7" w:color="FFFFFF"/>
          <w:left w:val="single" w:sz="7" w:color="FFFFFF"/>
          <w:bottom w:val="single" w:sz="7" w:color="FFFFFF"/>
          <w:right w:val="single" w:sz="7" w:color="FFFFFF"/>
          <w:insideH w:val="single" w:sz="7" w:color="FFFFFF"/>
          <w:insideV w:val="single" w:sz="7" w:color="FFFFFF"/>
        </w:tblBorders>
      </w:tblPr>
      <w:tblGrid>
        <w:gridCol w:w="624"/>
        <w:gridCol w:w="2835"/>
        <w:gridCol w:w="6917"/>
      </w:tblGrid>
      <w:tr>
        <w:tc>
          <w:tcPr>
            <w:tcW w:type="dxa" w:w="3496"/>
            <w:tcMar>
              <w:top w:w="100" w:type="dxa"/>
              <w:start w:w="120" w:type="dxa"/>
              <w:bottom w:w="100" w:type="dxa"/>
              <w:end w:w="120" w:type="dxa"/>
            </w:tcMar>
            <w:shd w:fill="102A43"/>
          </w:tcPr>
          <w:p>
            <w:pPr>
              <w:jc w:val="center"/>
            </w:pPr>
            <w:r>
              <w:rPr>
                <w:rFonts w:ascii="Arial" w:hAnsi="Arial"/>
                <w:b/>
                <w:i w:val="0"/>
                <w:color w:val="FFFFFF"/>
                <w:sz w:val="32"/>
              </w:rPr>
              <w:t>2</w:t>
            </w:r>
          </w:p>
        </w:tc>
        <w:tc>
          <w:tcPr>
            <w:tcW w:type="dxa" w:w="3496"/>
            <w:tcMar>
              <w:top w:w="100" w:type="dxa"/>
              <w:start w:w="120" w:type="dxa"/>
              <w:bottom w:w="100" w:type="dxa"/>
              <w:end w:w="120" w:type="dxa"/>
            </w:tcMar>
            <w:shd w:fill="EAF4F4"/>
          </w:tcPr>
          <w:p>
            <w:pPr>
              <w:spacing w:after="40" w:line="240" w:lineRule="auto"/>
            </w:pPr>
            <w:r>
              <w:rPr>
                <w:rFonts w:ascii="Arial" w:hAnsi="Arial"/>
                <w:b/>
                <w:i w:val="0"/>
                <w:color w:val="102A43"/>
                <w:sz w:val="18"/>
              </w:rPr>
              <w:t>Revenue-decline &amp; first-gap protection</w:t>
            </w:r>
          </w:p>
          <w:p>
            <w:pPr>
              <w:spacing w:after="0" w:line="240" w:lineRule="auto"/>
            </w:pPr>
            <w:r>
              <w:rPr>
                <w:rFonts w:ascii="Arial" w:hAnsi="Arial"/>
                <w:b w:val="0"/>
                <w:i w:val="0"/>
                <w:color w:val="17212B"/>
                <w:sz w:val="16"/>
              </w:rPr>
              <w:t>Use a material revenue decline as a diagnostic trigger and the first missing-revenue month as the practical intervention window. Monitor recovered accounts separately.</w:t>
            </w:r>
          </w:p>
        </w:tc>
        <w:tc>
          <w:tcPr>
            <w:tcW w:type="dxa" w:w="3496"/>
            <w:tcMar>
              <w:top w:w="100" w:type="dxa"/>
              <w:start w:w="120" w:type="dxa"/>
              <w:bottom w:w="100" w:type="dxa"/>
              <w:end w:w="120" w:type="dxa"/>
            </w:tcMar>
          </w:tcPr>
          <w:p>
            <w:pPr>
              <w:spacing w:after="40" w:line="240" w:lineRule="auto"/>
            </w:pPr>
            <w:r>
              <w:rPr>
                <w:rFonts w:ascii="Arial" w:hAnsi="Arial"/>
                <w:b/>
                <w:i w:val="0"/>
                <w:color w:val="008C8C"/>
                <w:sz w:val="17"/>
              </w:rPr>
              <w:t>Decision rule</w:t>
            </w:r>
          </w:p>
          <w:p>
            <w:pPr>
              <w:spacing w:after="0" w:line="240" w:lineRule="auto"/>
            </w:pPr>
            <w:r>
              <w:rPr>
                <w:rFonts w:ascii="Arial" w:hAnsi="Arial"/>
                <w:b w:val="0"/>
                <w:i w:val="0"/>
                <w:color w:val="17212B"/>
                <w:sz w:val="16"/>
              </w:rPr>
              <w:t>Keep the behavior-based definition: decline is not churn, company closure is not automatically churn, and expected recoverable revenue cannot be inferred without a causal test.</w:t>
            </w:r>
          </w:p>
        </w:tc>
      </w:tr>
    </w:tbl>
    <w:p>
      <w:pPr>
        <w:spacing w:after="0"/>
      </w:pPr>
    </w:p>
    <w:p>
      <w:pPr>
        <w:keepNext/>
        <w:spacing w:before="80" w:after="60"/>
      </w:pPr>
      <w:r>
        <w:rPr>
          <w:rFonts w:ascii="Arial" w:hAnsi="Arial"/>
          <w:b/>
          <w:i w:val="0"/>
          <w:color w:val="102A43"/>
          <w:sz w:val="21"/>
        </w:rPr>
        <w:t>Business initial plan: secondary, not the lead</w:t>
      </w:r>
    </w:p>
    <w:p>
      <w:pPr>
        <w:spacing w:after="60" w:line="250" w:lineRule="auto"/>
      </w:pPr>
      <w:r>
        <w:rPr>
          <w:rFonts w:ascii="Arial" w:hAnsi="Arial"/>
          <w:b w:val="0"/>
          <w:i w:val="0"/>
          <w:color w:val="17212B"/>
          <w:sz w:val="18"/>
        </w:rPr>
        <w:t>The internal group is small and weak on continuity, the current EUR 60 offer is team-oriented, and competition is strong. Test Business only among companies with observable team and expense-management needs. Obtain effective-dated current-plan history before attributing an effect to the initial plan.</w:t>
      </w:r>
    </w:p>
    <w:p>
      <w:pPr>
        <w:keepNext/>
        <w:spacing w:before="80" w:after="60"/>
      </w:pPr>
      <w:r>
        <w:rPr>
          <w:rFonts w:ascii="Arial" w:hAnsi="Arial"/>
          <w:b/>
          <w:i w:val="0"/>
          <w:color w:val="102A43"/>
          <w:sz w:val="26"/>
        </w:rPr>
        <w:t>Validate before leadership acts</w:t>
      </w:r>
    </w:p>
    <w:p>
      <w:pPr>
        <w:pStyle w:val="ListBullet"/>
        <w:spacing w:after="30" w:line="240" w:lineRule="auto"/>
        <w:ind w:left="255" w:hanging="125"/>
      </w:pPr>
      <w:r>
        <w:rPr>
          <w:rFonts w:ascii="Arial" w:hAnsi="Arial"/>
          <w:b w:val="0"/>
          <w:i w:val="0"/>
          <w:color w:val="17212B"/>
          <w:sz w:val="16"/>
        </w:rPr>
        <w:t>Acquisition &amp; selection: BTP channel, campaign spend, applicant mix, KYB approval, conversion, CAC, payback, and current penetration.</w:t>
      </w:r>
    </w:p>
    <w:p>
      <w:pPr>
        <w:pStyle w:val="ListBullet"/>
        <w:spacing w:after="30" w:line="240" w:lineRule="auto"/>
        <w:ind w:left="255" w:hanging="125"/>
      </w:pPr>
      <w:r>
        <w:rPr>
          <w:rFonts w:ascii="Arial" w:hAnsi="Arial"/>
          <w:b w:val="0"/>
          <w:i w:val="0"/>
          <w:color w:val="17212B"/>
          <w:sz w:val="16"/>
        </w:rPr>
        <w:t>Product fit: Current plan and migration, invoicing, cards, subaccounts, collections, financing requests, rejected payments, and primary-versus-secondary-account use.</w:t>
      </w:r>
    </w:p>
    <w:p>
      <w:pPr>
        <w:pStyle w:val="ListBullet"/>
        <w:spacing w:after="30" w:line="240" w:lineRule="auto"/>
        <w:ind w:left="255" w:hanging="125"/>
      </w:pPr>
      <w:r>
        <w:rPr>
          <w:rFonts w:ascii="Arial" w:hAnsi="Arial"/>
          <w:b w:val="0"/>
          <w:i w:val="0"/>
          <w:color w:val="17212B"/>
          <w:sz w:val="16"/>
        </w:rPr>
        <w:t>Unit economics: Gross margin by revenue type, partner economics, support and operational cost, and incremental contribution.</w:t>
      </w:r>
    </w:p>
    <w:p>
      <w:pPr>
        <w:pStyle w:val="ListBullet"/>
        <w:spacing w:after="30" w:line="240" w:lineRule="auto"/>
        <w:ind w:left="255" w:hanging="125"/>
      </w:pPr>
      <w:r>
        <w:rPr>
          <w:rFonts w:ascii="Arial" w:hAnsi="Arial"/>
          <w:b w:val="0"/>
          <w:i w:val="0"/>
          <w:color w:val="17212B"/>
          <w:sz w:val="16"/>
        </w:rPr>
        <w:t>Governance: Exact BTP definition and provenance, permitted KYB use, privacy controls, access, retention, and small-cell suppression.</w:t>
      </w:r>
    </w:p>
    <w:p>
      <w:pPr>
        <w:pStyle w:val="ListBullet"/>
        <w:spacing w:after="30" w:line="240" w:lineRule="auto"/>
        <w:ind w:left="255" w:hanging="125"/>
      </w:pPr>
      <w:r>
        <w:rPr>
          <w:rFonts w:ascii="Arial" w:hAnsi="Arial"/>
          <w:b w:val="0"/>
          <w:i w:val="0"/>
          <w:color w:val="17212B"/>
          <w:sz w:val="16"/>
        </w:rPr>
        <w:t>Causality: Pre-register the intervention, randomise treatment, use intention-to-treat, and separate association from incremental impact.</w:t>
      </w:r>
    </w:p>
    <w:p>
      <w:pPr>
        <w:keepNext/>
        <w:spacing w:before="80" w:after="60"/>
      </w:pPr>
      <w:r>
        <w:rPr>
          <w:rFonts w:ascii="Arial" w:hAnsi="Arial"/>
          <w:b/>
          <w:i w:val="0"/>
          <w:color w:val="102A43"/>
          <w:sz w:val="26"/>
        </w:rPr>
        <w:t>Presentation-ready wording</w:t>
      </w:r>
    </w:p>
    <w:tbl>
      <w:tblPr>
        <w:tblW w:type="auto" w:w="0"/>
        <w:tblLook w:firstColumn="1" w:firstRow="1" w:lastColumn="0" w:lastRow="0" w:noHBand="0" w:noVBand="1" w:val="04A0"/>
        <w:tblBorders>
          <w:top w:val="single" w:sz="1" w:color="102A43"/>
          <w:left w:val="single" w:sz="1" w:color="102A43"/>
          <w:bottom w:val="single" w:sz="1" w:color="102A43"/>
          <w:right w:val="single" w:sz="1" w:color="102A43"/>
          <w:insideH w:val="single" w:sz="1" w:color="102A43"/>
          <w:insideV w:val="single" w:sz="1" w:color="102A43"/>
        </w:tblBorders>
      </w:tblPr>
      <w:tblGrid>
        <w:gridCol w:w="10488"/>
      </w:tblGrid>
      <w:tr>
        <w:tc>
          <w:tcPr>
            <w:tcW w:type="dxa" w:w="10488"/>
            <w:shd w:fill="102A43"/>
            <w:tcMar>
              <w:top w:w="130" w:type="dxa"/>
              <w:start w:w="160" w:type="dxa"/>
              <w:bottom w:w="130" w:type="dxa"/>
              <w:end w:w="160" w:type="dxa"/>
            </w:tcMar>
          </w:tcPr>
          <w:p>
            <w:pPr>
              <w:spacing w:after="0" w:line="240" w:lineRule="auto"/>
            </w:pPr>
            <w:r>
              <w:rPr>
                <w:rFonts w:ascii="Arial" w:hAnsi="Arial"/>
                <w:b/>
                <w:i w:val="0"/>
                <w:color w:val="FFFFFF"/>
                <w:sz w:val="18"/>
              </w:rPr>
              <w:t>BTP is Shine's strongest demonstrated vertical, not yet a proven untapped market. Its large artisan base and workflow fit support a targeted experiment, while sector contraction, financing constraints, advanced invoicing needs, and existing BTP marketing limit broad extrapolation. Test a BTP-specific activation and health journey, using electronic invoicing as the workflow entry point, and scale only when incremental contribution and guardrails outperform business-as-usual.</w:t>
            </w:r>
          </w:p>
        </w:tc>
      </w:tr>
    </w:tbl>
    <w:p>
      <w:r>
        <w:br w:type="page"/>
      </w:r>
    </w:p>
    <w:p>
      <w:pPr>
        <w:keepNext/>
        <w:spacing w:before="0" w:after="60"/>
      </w:pPr>
      <w:r>
        <w:rPr>
          <w:rFonts w:ascii="Arial" w:hAnsi="Arial"/>
          <w:b/>
          <w:i w:val="0"/>
          <w:color w:val="102A43"/>
          <w:sz w:val="26"/>
        </w:rPr>
        <w:t>Linked reference sources</w:t>
      </w:r>
    </w:p>
    <w:p>
      <w:pPr>
        <w:spacing w:after="80"/>
        <w:ind w:left="142"/>
      </w:pPr>
      <w:r>
        <w:rPr>
          <w:rFonts w:ascii="Arial" w:hAnsi="Arial"/>
          <w:b/>
          <w:i w:val="0"/>
          <w:color w:val="102A43"/>
          <w:sz w:val="16"/>
        </w:rPr>
        <w:t xml:space="preserve">1. </w:t>
      </w:r>
      <w:hyperlink r:id="rId10">
        <w:r>
          <w:rPr>
            <w:color w:val="008C8C"/>
            <w:u w:val="single"/>
            <w:sz w:val="16"/>
          </w:rPr>
          <w:t>Shine pricing</w:t>
        </w:r>
      </w:hyperlink>
      <w:r>
        <w:rPr>
          <w:rFonts w:ascii="Arial" w:hAnsi="Arial"/>
          <w:b w:val="0"/>
          <w:i w:val="0"/>
          <w:color w:val="5E6C76"/>
          <w:sz w:val="13"/>
        </w:rPr>
        <w:t xml:space="preserve">  https://www.shine.fr/tarifs/</w:t>
      </w:r>
    </w:p>
    <w:p>
      <w:pPr>
        <w:spacing w:after="80"/>
        <w:ind w:left="142"/>
      </w:pPr>
      <w:r>
        <w:rPr>
          <w:rFonts w:ascii="Arial" w:hAnsi="Arial"/>
          <w:b/>
          <w:i w:val="0"/>
          <w:color w:val="102A43"/>
          <w:sz w:val="16"/>
        </w:rPr>
        <w:t xml:space="preserve">2. </w:t>
      </w:r>
      <w:hyperlink r:id="rId20">
        <w:r>
          <w:rPr>
            <w:color w:val="008C8C"/>
            <w:u w:val="single"/>
            <w:sz w:val="16"/>
          </w:rPr>
          <w:t>Shine BTP offer</w:t>
        </w:r>
      </w:hyperlink>
      <w:r>
        <w:rPr>
          <w:rFonts w:ascii="Arial" w:hAnsi="Arial"/>
          <w:b w:val="0"/>
          <w:i w:val="0"/>
          <w:color w:val="5E6C76"/>
          <w:sz w:val="13"/>
        </w:rPr>
        <w:t xml:space="preserve">  https://www.shine.fr/btp/</w:t>
      </w:r>
    </w:p>
    <w:p>
      <w:pPr>
        <w:spacing w:after="80"/>
        <w:ind w:left="142"/>
      </w:pPr>
      <w:r>
        <w:rPr>
          <w:rFonts w:ascii="Arial" w:hAnsi="Arial"/>
          <w:b/>
          <w:i w:val="0"/>
          <w:color w:val="102A43"/>
          <w:sz w:val="16"/>
        </w:rPr>
        <w:t xml:space="preserve">3. </w:t>
      </w:r>
      <w:hyperlink r:id="rId11">
        <w:r>
          <w:rPr>
            <w:color w:val="008C8C"/>
            <w:u w:val="single"/>
            <w:sz w:val="16"/>
          </w:rPr>
          <w:t>Shine: payment institution versus a traditional bank</w:t>
        </w:r>
      </w:hyperlink>
      <w:r>
        <w:rPr>
          <w:rFonts w:ascii="Arial" w:hAnsi="Arial"/>
          <w:b w:val="0"/>
          <w:i w:val="0"/>
          <w:color w:val="5E6C76"/>
          <w:sz w:val="13"/>
        </w:rPr>
        <w:t xml:space="preserve">  https://help.shine.fr/fr/articles/1175387-quelles-sont-les-differences-entre-shine-et-une-banque-dite-traditionnelle</w:t>
      </w:r>
    </w:p>
    <w:p>
      <w:pPr>
        <w:spacing w:after="80"/>
        <w:ind w:left="142"/>
      </w:pPr>
      <w:r>
        <w:rPr>
          <w:rFonts w:ascii="Arial" w:hAnsi="Arial"/>
          <w:b/>
          <w:i w:val="0"/>
          <w:color w:val="102A43"/>
          <w:sz w:val="16"/>
        </w:rPr>
        <w:t xml:space="preserve">4. </w:t>
      </w:r>
      <w:hyperlink r:id="rId12">
        <w:r>
          <w:rPr>
            <w:color w:val="008C8C"/>
            <w:u w:val="single"/>
            <w:sz w:val="16"/>
          </w:rPr>
          <w:t>Shine overdraft limitation and financing partners</w:t>
        </w:r>
      </w:hyperlink>
      <w:r>
        <w:rPr>
          <w:rFonts w:ascii="Arial" w:hAnsi="Arial"/>
          <w:b w:val="0"/>
          <w:i w:val="0"/>
          <w:color w:val="5E6C76"/>
          <w:sz w:val="13"/>
        </w:rPr>
        <w:t xml:space="preserve">  https://help.shine.fr/fr/articles/1179200-compte-a-decouvert</w:t>
      </w:r>
    </w:p>
    <w:p>
      <w:pPr>
        <w:spacing w:after="80"/>
        <w:ind w:left="142"/>
      </w:pPr>
      <w:r>
        <w:rPr>
          <w:rFonts w:ascii="Arial" w:hAnsi="Arial"/>
          <w:b/>
          <w:i w:val="0"/>
          <w:color w:val="102A43"/>
          <w:sz w:val="16"/>
        </w:rPr>
        <w:t xml:space="preserve">5. </w:t>
      </w:r>
      <w:hyperlink r:id="rId21">
        <w:r>
          <w:rPr>
            <w:color w:val="008C8C"/>
            <w:u w:val="single"/>
            <w:sz w:val="16"/>
          </w:rPr>
          <w:t>Shine advanced BTP invoicing limitations</w:t>
        </w:r>
      </w:hyperlink>
      <w:r>
        <w:rPr>
          <w:rFonts w:ascii="Arial" w:hAnsi="Arial"/>
          <w:b w:val="0"/>
          <w:i w:val="0"/>
          <w:color w:val="5E6C76"/>
          <w:sz w:val="13"/>
        </w:rPr>
        <w:t xml:space="preserve">  https://help.shine.fr/shine-facture/fr/articles/16596228-artisans-du-btp-facturer-l-avancement-de-vos-chantiers-situations-de-travaux</w:t>
      </w:r>
    </w:p>
    <w:p>
      <w:pPr>
        <w:spacing w:after="80"/>
        <w:ind w:left="142"/>
      </w:pPr>
      <w:r>
        <w:rPr>
          <w:rFonts w:ascii="Arial" w:hAnsi="Arial"/>
          <w:b/>
          <w:i w:val="0"/>
          <w:color w:val="102A43"/>
          <w:sz w:val="16"/>
        </w:rPr>
        <w:t xml:space="preserve">6. </w:t>
      </w:r>
      <w:hyperlink r:id="rId13">
        <w:r>
          <w:rPr>
            <w:color w:val="008C8C"/>
            <w:u w:val="single"/>
            <w:sz w:val="16"/>
          </w:rPr>
          <w:t>Shine joining Ageras</w:t>
        </w:r>
      </w:hyperlink>
      <w:r>
        <w:rPr>
          <w:rFonts w:ascii="Arial" w:hAnsi="Arial"/>
          <w:b w:val="0"/>
          <w:i w:val="0"/>
          <w:color w:val="5E6C76"/>
          <w:sz w:val="13"/>
        </w:rPr>
        <w:t xml:space="preserve">  https://help.shine.fr/fr/articles/10289941-shine-rejoint-ageras</w:t>
      </w:r>
    </w:p>
    <w:p>
      <w:pPr>
        <w:spacing w:after="80"/>
        <w:ind w:left="142"/>
      </w:pPr>
      <w:r>
        <w:rPr>
          <w:rFonts w:ascii="Arial" w:hAnsi="Arial"/>
          <w:b/>
          <w:i w:val="0"/>
          <w:color w:val="102A43"/>
          <w:sz w:val="16"/>
        </w:rPr>
        <w:t xml:space="preserve">7. </w:t>
      </w:r>
      <w:hyperlink r:id="rId17">
        <w:r>
          <w:rPr>
            <w:color w:val="008C8C"/>
            <w:u w:val="single"/>
            <w:sz w:val="16"/>
          </w:rPr>
          <w:t>INSEE active legal units by sector</w:t>
        </w:r>
      </w:hyperlink>
      <w:r>
        <w:rPr>
          <w:rFonts w:ascii="Arial" w:hAnsi="Arial"/>
          <w:b w:val="0"/>
          <w:i w:val="0"/>
          <w:color w:val="5E6C76"/>
          <w:sz w:val="13"/>
        </w:rPr>
        <w:t xml:space="preserve">  https://www.insee.fr/fr/statistiques/2011101?geo=FRANCE-1-1</w:t>
      </w:r>
    </w:p>
    <w:p>
      <w:pPr>
        <w:spacing w:after="80"/>
        <w:ind w:left="142"/>
      </w:pPr>
      <w:r>
        <w:rPr>
          <w:rFonts w:ascii="Arial" w:hAnsi="Arial"/>
          <w:b/>
          <w:i w:val="0"/>
          <w:color w:val="102A43"/>
          <w:sz w:val="16"/>
        </w:rPr>
        <w:t xml:space="preserve">8. </w:t>
      </w:r>
      <w:hyperlink r:id="rId22">
        <w:r>
          <w:rPr>
            <w:color w:val="008C8C"/>
            <w:u w:val="single"/>
            <w:sz w:val="16"/>
          </w:rPr>
          <w:t>INSEE company creations in 2025</w:t>
        </w:r>
      </w:hyperlink>
      <w:r>
        <w:rPr>
          <w:rFonts w:ascii="Arial" w:hAnsi="Arial"/>
          <w:b w:val="0"/>
          <w:i w:val="0"/>
          <w:color w:val="5E6C76"/>
          <w:sz w:val="13"/>
        </w:rPr>
        <w:t xml:space="preserve">  https://www.insee.fr/fr/statistiques/8721354</w:t>
      </w:r>
    </w:p>
    <w:p>
      <w:pPr>
        <w:spacing w:after="80"/>
        <w:ind w:left="142"/>
      </w:pPr>
      <w:r>
        <w:rPr>
          <w:rFonts w:ascii="Arial" w:hAnsi="Arial"/>
          <w:b/>
          <w:i w:val="0"/>
          <w:color w:val="102A43"/>
          <w:sz w:val="16"/>
        </w:rPr>
        <w:t xml:space="preserve">9. </w:t>
      </w:r>
      <w:hyperlink r:id="rId19">
        <w:r>
          <w:rPr>
            <w:color w:val="008C8C"/>
            <w:u w:val="single"/>
            <w:sz w:val="16"/>
          </w:rPr>
          <w:t>CAPEB Q1 2026 economic outlook</w:t>
        </w:r>
      </w:hyperlink>
      <w:r>
        <w:rPr>
          <w:rFonts w:ascii="Arial" w:hAnsi="Arial"/>
          <w:b w:val="0"/>
          <w:i w:val="0"/>
          <w:color w:val="5E6C76"/>
          <w:sz w:val="13"/>
        </w:rPr>
        <w:t xml:space="preserve">  https://www.capeb.fr/www/capeb/media/national/note-1-trimestre-2026-v3.pdf</w:t>
      </w:r>
    </w:p>
    <w:p>
      <w:pPr>
        <w:spacing w:after="80"/>
        <w:ind w:left="142"/>
      </w:pPr>
      <w:r>
        <w:rPr>
          <w:rFonts w:ascii="Arial" w:hAnsi="Arial"/>
          <w:b/>
          <w:i w:val="0"/>
          <w:color w:val="102A43"/>
          <w:sz w:val="16"/>
        </w:rPr>
        <w:t xml:space="preserve">10. </w:t>
      </w:r>
      <w:hyperlink r:id="rId18">
        <w:r>
          <w:rPr>
            <w:color w:val="008C8C"/>
            <w:u w:val="single"/>
            <w:sz w:val="16"/>
          </w:rPr>
          <w:t>FFB building-sector figures</w:t>
        </w:r>
      </w:hyperlink>
      <w:r>
        <w:rPr>
          <w:rFonts w:ascii="Arial" w:hAnsi="Arial"/>
          <w:b w:val="0"/>
          <w:i w:val="0"/>
          <w:color w:val="5E6C76"/>
          <w:sz w:val="13"/>
        </w:rPr>
        <w:t xml:space="preserve">  https://www.ffbatiment.fr/le-batiment-en-chiffres</w:t>
      </w:r>
    </w:p>
    <w:p>
      <w:pPr>
        <w:spacing w:after="80"/>
        <w:ind w:left="142"/>
      </w:pPr>
      <w:r>
        <w:rPr>
          <w:rFonts w:ascii="Arial" w:hAnsi="Arial"/>
          <w:b/>
          <w:i w:val="0"/>
          <w:color w:val="102A43"/>
          <w:sz w:val="16"/>
        </w:rPr>
        <w:t xml:space="preserve">11. </w:t>
      </w:r>
      <w:hyperlink r:id="rId23">
        <w:r>
          <w:rPr>
            <w:color w:val="008C8C"/>
            <w:u w:val="single"/>
            <w:sz w:val="16"/>
          </w:rPr>
          <w:t>French electronic-invoicing reform</w:t>
        </w:r>
      </w:hyperlink>
      <w:r>
        <w:rPr>
          <w:rFonts w:ascii="Arial" w:hAnsi="Arial"/>
          <w:b w:val="0"/>
          <w:i w:val="0"/>
          <w:color w:val="5E6C76"/>
          <w:sz w:val="13"/>
        </w:rPr>
        <w:t xml:space="preserve">  https://www.economie.gouv.fr/tout-savoir-sur-la-facturation-electronique-pour-les-entreprises</w:t>
      </w:r>
    </w:p>
    <w:p>
      <w:pPr>
        <w:spacing w:after="80"/>
        <w:ind w:left="142"/>
      </w:pPr>
      <w:r>
        <w:rPr>
          <w:rFonts w:ascii="Arial" w:hAnsi="Arial"/>
          <w:b/>
          <w:i w:val="0"/>
          <w:color w:val="102A43"/>
          <w:sz w:val="16"/>
        </w:rPr>
        <w:t xml:space="preserve">12. </w:t>
      </w:r>
      <w:hyperlink r:id="rId25">
        <w:r>
          <w:rPr>
            <w:color w:val="008C8C"/>
            <w:u w:val="single"/>
            <w:sz w:val="16"/>
          </w:rPr>
          <w:t>Official accredited-platform information</w:t>
        </w:r>
      </w:hyperlink>
      <w:r>
        <w:rPr>
          <w:rFonts w:ascii="Arial" w:hAnsi="Arial"/>
          <w:b w:val="0"/>
          <w:i w:val="0"/>
          <w:color w:val="5E6C76"/>
          <w:sz w:val="13"/>
        </w:rPr>
        <w:t xml:space="preserve">  https://www.impots.gouv.fr/facturation-electronique-et-plateformes-agreees</w:t>
      </w:r>
    </w:p>
    <w:p>
      <w:pPr>
        <w:spacing w:after="80"/>
        <w:ind w:left="142"/>
      </w:pPr>
      <w:r>
        <w:rPr>
          <w:rFonts w:ascii="Arial" w:hAnsi="Arial"/>
          <w:b/>
          <w:i w:val="0"/>
          <w:color w:val="102A43"/>
          <w:sz w:val="16"/>
        </w:rPr>
        <w:t xml:space="preserve">13. </w:t>
      </w:r>
      <w:hyperlink r:id="rId24">
        <w:r>
          <w:rPr>
            <w:color w:val="008C8C"/>
            <w:u w:val="single"/>
            <w:sz w:val="16"/>
          </w:rPr>
          <w:t>Shine accredited-platform confirmation</w:t>
        </w:r>
      </w:hyperlink>
      <w:r>
        <w:rPr>
          <w:rFonts w:ascii="Arial" w:hAnsi="Arial"/>
          <w:b w:val="0"/>
          <w:i w:val="0"/>
          <w:color w:val="5E6C76"/>
          <w:sz w:val="13"/>
        </w:rPr>
        <w:t xml:space="preserve">  https://help.shine.fr/fr/articles/11459160-shine-plateforme-agreee-de-facturation-electronique</w:t>
      </w:r>
    </w:p>
    <w:p>
      <w:pPr>
        <w:spacing w:after="80"/>
        <w:ind w:left="142"/>
      </w:pPr>
      <w:r>
        <w:rPr>
          <w:rFonts w:ascii="Arial" w:hAnsi="Arial"/>
          <w:b/>
          <w:i w:val="0"/>
          <w:color w:val="102A43"/>
          <w:sz w:val="16"/>
        </w:rPr>
        <w:t xml:space="preserve">14. </w:t>
      </w:r>
      <w:hyperlink r:id="rId14">
        <w:r>
          <w:rPr>
            <w:color w:val="008C8C"/>
            <w:u w:val="single"/>
            <w:sz w:val="16"/>
          </w:rPr>
          <w:t>Qonto pricing</w:t>
        </w:r>
      </w:hyperlink>
      <w:r>
        <w:rPr>
          <w:rFonts w:ascii="Arial" w:hAnsi="Arial"/>
          <w:b w:val="0"/>
          <w:i w:val="0"/>
          <w:color w:val="5E6C76"/>
          <w:sz w:val="13"/>
        </w:rPr>
        <w:t xml:space="preserve">  https://qonto.com/fr/pricing</w:t>
      </w:r>
    </w:p>
    <w:p>
      <w:pPr>
        <w:spacing w:after="80"/>
        <w:ind w:left="142"/>
      </w:pPr>
      <w:r>
        <w:rPr>
          <w:rFonts w:ascii="Arial" w:hAnsi="Arial"/>
          <w:b/>
          <w:i w:val="0"/>
          <w:color w:val="102A43"/>
          <w:sz w:val="16"/>
        </w:rPr>
        <w:t xml:space="preserve">15. </w:t>
      </w:r>
      <w:hyperlink r:id="rId15">
        <w:r>
          <w:rPr>
            <w:color w:val="008C8C"/>
            <w:u w:val="single"/>
            <w:sz w:val="16"/>
          </w:rPr>
          <w:t>Indy professional account</w:t>
        </w:r>
      </w:hyperlink>
      <w:r>
        <w:rPr>
          <w:rFonts w:ascii="Arial" w:hAnsi="Arial"/>
          <w:b w:val="0"/>
          <w:i w:val="0"/>
          <w:color w:val="5E6C76"/>
          <w:sz w:val="13"/>
        </w:rPr>
        <w:t xml:space="preserve">  https://www.indy.fr/compte-pro/</w:t>
      </w:r>
    </w:p>
    <w:p>
      <w:pPr>
        <w:spacing w:after="80"/>
        <w:ind w:left="142"/>
      </w:pPr>
      <w:r>
        <w:rPr>
          <w:rFonts w:ascii="Arial" w:hAnsi="Arial"/>
          <w:b/>
          <w:i w:val="0"/>
          <w:color w:val="102A43"/>
          <w:sz w:val="16"/>
        </w:rPr>
        <w:t xml:space="preserve">16. </w:t>
      </w:r>
      <w:hyperlink r:id="rId16">
        <w:r>
          <w:rPr>
            <w:color w:val="008C8C"/>
            <w:u w:val="single"/>
            <w:sz w:val="16"/>
          </w:rPr>
          <w:t>Revolut Business pricing</w:t>
        </w:r>
      </w:hyperlink>
      <w:r>
        <w:rPr>
          <w:rFonts w:ascii="Arial" w:hAnsi="Arial"/>
          <w:b w:val="0"/>
          <w:i w:val="0"/>
          <w:color w:val="5E6C76"/>
          <w:sz w:val="13"/>
        </w:rPr>
        <w:t xml:space="preserve">  https://www.revolut.com/fr-FR/business/business-account-plans/</w:t>
      </w:r>
    </w:p>
    <w:sectPr w:rsidR="00FC693F" w:rsidRPr="0006063C" w:rsidSect="00034616">
      <w:footerReference w:type="default" r:id="rId9"/>
      <w:pgSz w:w="11906" w:h="16838"/>
      <w:pgMar w:top="652"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5E6C76"/>
        <w:sz w:val="14"/>
      </w:rPr>
      <w:t xml:space="preserve">SHINE CASE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rPr>
      <w:rFonts w:ascii="Arial" w:hAnsi="Arial"/>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hine.fr/tarifs/" TargetMode="External"/><Relationship Id="rId11" Type="http://schemas.openxmlformats.org/officeDocument/2006/relationships/hyperlink" Target="https://help.shine.fr/fr/articles/1175387-quelles-sont-les-differences-entre-shine-et-une-banque-dite-traditionnelle" TargetMode="External"/><Relationship Id="rId12" Type="http://schemas.openxmlformats.org/officeDocument/2006/relationships/hyperlink" Target="https://help.shine.fr/fr/articles/1179200-compte-a-decouvert" TargetMode="External"/><Relationship Id="rId13" Type="http://schemas.openxmlformats.org/officeDocument/2006/relationships/hyperlink" Target="https://help.shine.fr/fr/articles/10289941-shine-rejoint-ageras" TargetMode="External"/><Relationship Id="rId14" Type="http://schemas.openxmlformats.org/officeDocument/2006/relationships/hyperlink" Target="https://qonto.com/fr/pricing" TargetMode="External"/><Relationship Id="rId15" Type="http://schemas.openxmlformats.org/officeDocument/2006/relationships/hyperlink" Target="https://www.indy.fr/compte-pro/" TargetMode="External"/><Relationship Id="rId16" Type="http://schemas.openxmlformats.org/officeDocument/2006/relationships/hyperlink" Target="https://www.revolut.com/fr-FR/business/business-account-plans/" TargetMode="External"/><Relationship Id="rId17" Type="http://schemas.openxmlformats.org/officeDocument/2006/relationships/hyperlink" Target="https://www.insee.fr/fr/statistiques/2011101?geo=FRANCE-1-1" TargetMode="External"/><Relationship Id="rId18" Type="http://schemas.openxmlformats.org/officeDocument/2006/relationships/hyperlink" Target="https://www.ffbatiment.fr/le-batiment-en-chiffres" TargetMode="External"/><Relationship Id="rId19" Type="http://schemas.openxmlformats.org/officeDocument/2006/relationships/hyperlink" Target="https://www.capeb.fr/www/capeb/media/national/note-1-trimestre-2026-v3.pdf" TargetMode="External"/><Relationship Id="rId20" Type="http://schemas.openxmlformats.org/officeDocument/2006/relationships/hyperlink" Target="https://www.shine.fr/btp/" TargetMode="External"/><Relationship Id="rId21" Type="http://schemas.openxmlformats.org/officeDocument/2006/relationships/hyperlink" Target="https://help.shine.fr/shine-facture/fr/articles/16596228-artisans-du-btp-facturer-l-avancement-de-vos-chantiers-situations-de-travaux" TargetMode="External"/><Relationship Id="rId22" Type="http://schemas.openxmlformats.org/officeDocument/2006/relationships/hyperlink" Target="https://www.insee.fr/fr/statistiques/8721354" TargetMode="External"/><Relationship Id="rId23" Type="http://schemas.openxmlformats.org/officeDocument/2006/relationships/hyperlink" Target="https://www.economie.gouv.fr/tout-savoir-sur-la-facturation-electronique-pour-les-entreprises" TargetMode="External"/><Relationship Id="rId24" Type="http://schemas.openxmlformats.org/officeDocument/2006/relationships/hyperlink" Target="https://help.shine.fr/fr/articles/11459160-shine-plateforme-agreee-de-facturation-electronique" TargetMode="External"/><Relationship Id="rId25" Type="http://schemas.openxmlformats.org/officeDocument/2006/relationships/hyperlink" Target="https://www.impots.gouv.fr/facturation-electronique-et-plateformes-agre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Shine external market research and revised strategy</dc:title>
  <dc:subject>France market, competition, BTP scalability, and recommendations</dc:subject>
  <dc:creator>Candidate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