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Arial" w:hAnsi="Arial"/>
          <w:b/>
          <w:color w:val="0E5C5C"/>
          <w:sz w:val="28"/>
        </w:rPr>
        <w:t>VERIDATA PRO</w:t>
        <w:br/>
      </w:r>
      <w:r>
        <w:rPr>
          <w:rFonts w:ascii="Arial" w:hAnsi="Arial"/>
          <w:b/>
          <w:color w:val="1E1E1E"/>
          <w:sz w:val="52"/>
        </w:rPr>
        <w:t>Enterprise Reference Architectures</w:t>
      </w:r>
    </w:p>
    <w:p>
      <w:pPr>
        <w:spacing w:after="720"/>
        <w:jc w:val="center"/>
      </w:pPr>
      <w:r>
        <w:rPr>
          <w:rFonts w:ascii="Arial" w:hAnsi="Arial"/>
          <w:color w:val="646464"/>
          <w:sz w:val="24"/>
        </w:rPr>
        <w:t>A compilation of production-verified, high-performance reference designs across Cloud Serverless, API Security Gateways, and Enterprise Integrations.</w:t>
      </w: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E5C5C"/>
          <w:sz w:val="40"/>
        </w:rPr>
        <w:t>Part 1: English (Reference Architectures)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E5C5C"/>
          <w:sz w:val="28"/>
        </w:rPr>
        <w:t>1. Serverless Custom ERP for Interior Design Logistics</w:t>
      </w:r>
    </w:p>
    <w:p>
      <w:pPr>
        <w:spacing w:after="120" w:line="276" w:lineRule="auto"/>
      </w:pPr>
      <w:r>
        <w:rPr>
          <w:rFonts w:ascii="Arial" w:hAnsi="Arial"/>
          <w:color w:val="323232"/>
          <w:sz w:val="22"/>
        </w:rPr>
        <w:t>An enterprise-grade serverless ERP system developed to coordinate clients, vendors, and internal operations teams in real time. It resolves standard challenges regarding scalable workflows, auto-recovery routing, and multi-tenant isolation.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308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serverless_er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787878"/>
          <w:sz w:val="19"/>
        </w:rPr>
        <w:t>Architecture Blueprint &amp; Reference Flow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color w:val="3C3C3C"/>
          <w:sz w:val="22"/>
        </w:rPr>
        <w:t>Key Architectural Tradeoffs &amp;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Dilemma A: Serverless Latency &amp; Cold Starts (Hono vs. NestJS)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NestJS on AWS Lambda provides clear object structure, but its heavy dependency injection container leads to cold starts of 1.5s to 3s, hurting real-time user experiences.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Solution: Replaced NestJS with Hono running on Node.js. Hono is a zero-dependency, lightweight framework built for edge/serverless execution, reducing cold starts to under 150ms.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Dilemma B: Rigid Identity vs. Dynamic RBAC Permissions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Managing complex user and tenant role-based access configurations directly in Cognito Groups is hard to audit, rigid, and bloats JWT tokens.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Solution: Used Amazon Cognito strictly for Authentication (identity validation). All Authorization and RBAC roles are managed dynamically in database PostgreSQL tables.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Dilemma C: Database Connection Starvation (RDS Proxy)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PostgreSQL opens a separate OS process for every connection. Under serverless concurrency, scaling Lambda instances would immediately exhaust postgres connection limits.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Solution: Deployed Amazon RDS Proxy to pool and multiplex connections, keeping database connection counts stable even during high traffic surges.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E5C5C"/>
          <w:sz w:val="28"/>
        </w:rPr>
        <w:t>2. Zero-Trust API Security Gateway (APISix &amp; Zitadel)</w:t>
      </w:r>
    </w:p>
    <w:p>
      <w:pPr>
        <w:spacing w:after="120" w:line="276" w:lineRule="auto"/>
      </w:pPr>
      <w:r>
        <w:rPr>
          <w:rFonts w:ascii="Arial" w:hAnsi="Arial"/>
          <w:color w:val="323232"/>
          <w:sz w:val="22"/>
        </w:rPr>
        <w:t>A zero-trust integration layer deploying APISix as an edge gateway and Zitadel as a security identity plane. It shields legacy application microservices without requiring any code-level updates, establishing a standardized auditing wrapper.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443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gate_security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44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787878"/>
          <w:sz w:val="19"/>
        </w:rPr>
        <w:t>Architecture Blueprint &amp; Reference Flow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color w:val="3C3C3C"/>
          <w:sz w:val="22"/>
        </w:rPr>
        <w:t>Key Architectural Tradeoffs &amp;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Dilemma A: Edge Validation vs. Centralized Auth Overhead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Routing all auth queries back to Zitadel for every API request introduces latency. However, validating tokens locally at the edge requires sync of public keys.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Solution: Configured APISix to cache Zitadel's JWKs (JSON Web Keys) locally. Tokens are validated at the edge using cryptographically secure signatures, keeping routing latency under 10ms.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Dilemma B: Legacy App Shielding (Header Injection Pattern)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Rewriting authorization logic inside multiple legacy APIs is expensive, slow, and error-prone.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Solution: Zitadel validates the token and APISix injects standardized, encrypted user context headers (User-ID, Tenant-ID, Roles) into the upstream request. Upstreams trust these headers implicitly, securing legacy apps in 48 hours.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E5C5C"/>
          <w:sz w:val="28"/>
        </w:rPr>
        <w:t>3. Identity Resolution &amp; 3-Tier API Integration (MuleSoft)</w:t>
      </w:r>
    </w:p>
    <w:p>
      <w:pPr>
        <w:spacing w:after="120" w:line="276" w:lineRule="auto"/>
      </w:pPr>
      <w:r>
        <w:rPr>
          <w:rFonts w:ascii="Arial" w:hAnsi="Arial"/>
          <w:color w:val="323232"/>
          <w:sz w:val="22"/>
        </w:rPr>
        <w:t>A high-security, 3-tier API-led integration orchestrating Salesforce Health Cloud, Mobile App, Oracle DMS database, and Data360 de-duplication engines to process donor registration and medical deferrals.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91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l_mulesoft_martech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787878"/>
          <w:sz w:val="19"/>
        </w:rPr>
        <w:t>Architecture Blueprint &amp; Reference Flow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color w:val="3C3C3C"/>
          <w:sz w:val="22"/>
        </w:rPr>
        <w:t>Key Architectural Tradeoffs &amp; Decisions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Dilemma A: PII Privacy Laws vs. Registry Resolution (SSN)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US compliance requires verifying donor identity against national medical registries, but strict HIPAA laws prohibit storing or transmitting full Social Security Numbers (SSN) in mobile clients.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Solution: Resolved identity in Data360 using First/Last Name, DOB, and only the last 4/5 digits of the SSN (matched as one-way encrypted hashes) on the DMS System API.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Dilemma B: 3-Layer API Decoupling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Direct peer-to-peer pipes between Salesforce and the Oracle database create hard coupling, making database maintenance or upgrades extremely slow and risky.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Solution: Adopted MuleSoft 3-tier API architecture (Experience, Process, System APIs) to isolate system boundaries. Database migrations occur safely underneath the System API.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Dilemma C: Event-Driven Marketing Blockers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Batch processing donor exclusion updates leaves a compliance window open, risking illegal promotional messaging and severe regulatory penalties.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Solution: Deployed an asynchronous event listener. Deferral logs trigger a queue message that updates Salesforce Health Cloud and Marketing Cloud in under 1 second.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E5C5C"/>
          <w:sz w:val="40"/>
        </w:rPr>
        <w:t>Parte 2: Português (Arquiteturas de Referência)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E5C5C"/>
          <w:sz w:val="28"/>
        </w:rPr>
        <w:t>1. ERP Serverless Customizado para Logística de Design de Interiores</w:t>
      </w:r>
    </w:p>
    <w:p>
      <w:pPr>
        <w:spacing w:after="120" w:line="276" w:lineRule="auto"/>
      </w:pPr>
      <w:r>
        <w:rPr>
          <w:rFonts w:ascii="Arial" w:hAnsi="Arial"/>
          <w:color w:val="323232"/>
          <w:sz w:val="22"/>
        </w:rPr>
        <w:t>Um sistema ERP serverless corporativo desenvolvido para coordenar clientes, fornecedores e equipes de operações internas em tempo real. Ele resolve desafios de fluxos escaláveis, caminhos de auto-recuperação e isolamento multi-tenant.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308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serverless_er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787878"/>
          <w:sz w:val="19"/>
        </w:rPr>
        <w:t>Architecture Blueprint &amp; Reference Flow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color w:val="3C3C3C"/>
          <w:sz w:val="22"/>
        </w:rPr>
        <w:t>Tradeoffs Arquiteturais &amp; Decisões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A: Latência Serverless e Inícios a Frio (Hono vs. NestJS)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A especificação inicial propunha NestJS no AWS Lambda. Embora forneça boa estrutura, seu pesado contêiner de injeção de dependência gera inícios a frio de 1.5s a 3s, o que estraga a experiência em tempo real.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Solução: Substituição do NestJS pelo Hono rodando em Node.js. Hono é um framework leve e sem dependências desenvolvido para execução rápida em borda/serverless, reduzindo o início a frio para menos de 150ms.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B: Identidade Rígida vs. Permissões RBAC Dinâmicas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Gerenciar hierarquias complexas de acesso de clientes e fornecedores diretamente nos grupos do Cognito é rígido, complexo de auditar e infla os tokens JWT.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Solução: Utilização do Amazon Cognito estritamente para Autenticação (verificar identidade). Toda a lógica de permissões e controle de acesso (RBAC) é feita dinamicamente nas tabelas de banco PostgreSQL.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C: Esgotamento de Conexões do Banco de Dados (RDS Proxy)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O PostgreSQL abre um processo do sistema operacional para cada conexão. Sob concorrência severa, instâncias Lambda escalando esgotariam imediatamente os limites do banco.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Solução: Implantação do Amazon RDS Proxy para criar um pool estável e multiplexar conexões, mantendo estáveis as conexões do banco de dados durante picos de acessos.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E5C5C"/>
          <w:sz w:val="28"/>
        </w:rPr>
        <w:t>2. Gateway de Segurança API Zero-Trust (APISix &amp; Zitadel)</w:t>
      </w:r>
    </w:p>
    <w:p>
      <w:pPr>
        <w:spacing w:after="120" w:line="276" w:lineRule="auto"/>
      </w:pPr>
      <w:r>
        <w:rPr>
          <w:rFonts w:ascii="Arial" w:hAnsi="Arial"/>
          <w:color w:val="323232"/>
          <w:sz w:val="22"/>
        </w:rPr>
        <w:t>Uma camada de integração zero-trust implantando APISix como gateway de borda e Zitadel como provedor de identidade de segurança. Ele protege microsserviços legados sem alterar uma linha de código.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443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gate_security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44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787878"/>
          <w:sz w:val="19"/>
        </w:rPr>
        <w:t>Architecture Blueprint &amp; Reference Flow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color w:val="3C3C3C"/>
          <w:sz w:val="22"/>
        </w:rPr>
        <w:t>Tradeoffs Arquiteturais &amp; Decisões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A: Validação em Borda vs. Carga Centralizada de Autenticação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Consultar o servidor Zitadel para cada requisição adiciona latência prejudicial. Validar localmente na borda exige sincronização de chaves públicas.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Solução: Configuração do APISix para fazer cache local das JWKs do Zitadel. Os tokens são validados localmente na borda usando assinaturas criptográficas, mantendo a latência sob 10ms.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B: Proteção de Sistemas Legados (Padrão Header Injection)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Reescrever o código de autorização em múltiplos microsserviços legados seria extremamente lento, caro e propenso a erros.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Solução: O Zitadel valida a identidade, e o APISix injeta cabeçalhos criptografados com o contexto do usuário (User-ID, Tenant-ID, Permissões) nas requisições upstream. Os sistemas legados confiam nesses cabeçalhos, blindando as APIs em 48 horas.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E5C5C"/>
          <w:sz w:val="28"/>
        </w:rPr>
        <w:t>3. Resolução de Identidade &amp; Integração MuleSoft de 3 Camadas</w:t>
      </w:r>
    </w:p>
    <w:p>
      <w:pPr>
        <w:spacing w:after="120" w:line="276" w:lineRule="auto"/>
      </w:pPr>
      <w:r>
        <w:rPr>
          <w:rFonts w:ascii="Arial" w:hAnsi="Arial"/>
          <w:color w:val="323232"/>
          <w:sz w:val="22"/>
        </w:rPr>
        <w:t>Uma arquitetura MuleSoft de 3 níveis que orquestra Salesforce Health Cloud, Aplicativo Mobile, banco de dados Oracle DMS e Data360 para gerenciar o cadastro seguro de doadores e bloqueio de inaptidão médica.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916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l_mulesoft_martech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787878"/>
          <w:sz w:val="19"/>
        </w:rPr>
        <w:t>Architecture Blueprint &amp; Reference Flow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color w:val="3C3C3C"/>
          <w:sz w:val="22"/>
        </w:rPr>
        <w:t>Tradeoffs Arquiteturais &amp; Decisões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A: Leis de Privacidade PII vs. Resolução de Identidade (SSN)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As leis dos EUA exigem validação contra registros nacionais de deferral, mas normas rígidas da HIPAA proíbem transmitir ou salvar o SSN completo no aplicativo móvel.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Solução: Resolução da identidade no Data360 cruzando Nome, DOB e apenas os últimos 4/5 dígitos do SSN (comparados como hashes encriptados de via única) sob a DMS System API.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B: Desacoplamento MuleSoft em 3 Camadas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Conectar diretamente o Salesforce ao banco de dados Oracle gera acoplamento severo, tornando qualquer atualização de banco de dados arriscada e lenta.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Solução: Adoção do padrão MuleSoft de 3 camadas (Experience, Process, System APIs) para isolar responsabilidades. Migrações estruturais ocorrem de forma segura sob a System API.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C: Bloqueio Promo por Evento em Tempo Real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Atualizações em lote diárias deixam uma janela de erro de compliance aberta, gerando riscos de comunicações promocionais indevidas a doadores inaptos.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Solução: Implantação de um Event Listener assíncrono. Bloqueios médicos no centro ativam um evento que atualiza o Salesforce Health Cloud e Marketing Cloud em menos de 1 segundo.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0E5C5C"/>
          <w:sz w:val="40"/>
        </w:rPr>
        <w:t>Parte 3: Español (Arquitecturas de Referencia)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E5C5C"/>
          <w:sz w:val="28"/>
        </w:rPr>
        <w:t>1. ERP Serverless Personalizado para Logística de Diseño de Interiores</w:t>
      </w:r>
    </w:p>
    <w:p>
      <w:pPr>
        <w:spacing w:after="120" w:line="276" w:lineRule="auto"/>
      </w:pPr>
      <w:r>
        <w:rPr>
          <w:rFonts w:ascii="Arial" w:hAnsi="Arial"/>
          <w:color w:val="323232"/>
          <w:sz w:val="22"/>
        </w:rPr>
        <w:t>Un sistema ERP serverless de nivel empresarial desarrollado para coordinar clientes, proveedores y equipos de operaciones internas en tiempo real. Resuelve dilemas de flujos escalables, rutas de recuperación automática e aislamiento multi-tenant.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308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ws_serverless_erp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787878"/>
          <w:sz w:val="19"/>
        </w:rPr>
        <w:t>Architecture Blueprint &amp; Reference Flow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color w:val="3C3C3C"/>
          <w:sz w:val="22"/>
        </w:rPr>
        <w:t>Dilemas Técnicos &amp; Soluciones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A: Latencia Serverless e Inicios en Frío (Hono vs. NestJS)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La propuesta original usaba NestJS en AWS Lambda. Aunque provee una estructura limpia, su inyección de dependencias pesada genera cold starts de 1.5s a 3s, arruinando la experiencia en tiempo real.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Solución: Reemplazo de NestJS por Hono ejecutándose en Node.js. Hono es un framework ultra ligero sin dependencias diseñado para entornos serverless, bajando los inicios en frío a menos de 150ms.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B: Identidad Rígida vs. Permisos RBAC Dinámicos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Administrar roles de acceso y estructuras multi-tenant directamente en grupos de Cognito es rígido, complejo de auditar e infla los tokens JWT.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Solución: Uso de Amazon Cognito estrictamente para Autenticación (verificar identidad). Toda la Autorización y lógica RBAC se gestiona por completo en tablas de la base de datos PostgreSQL.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C: Agotamiento de Conexiones de Base de Datos (RDS Proxy)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PostgreSQL abre un proceso separado de sistema para cada conexión. El escalado horizontal rápido de Lambdas agotaría de inmediato los límites de conexión de base de datos.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Solución: Implementación de Amazon RDS Proxy para mantener un pool de conexiones multiplexado, manteniendo estables las conexiones del motor durante picos de tráfico.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E5C5C"/>
          <w:sz w:val="28"/>
        </w:rPr>
        <w:t>2. Gateway de Seguridad API Zero-Trust (APISix &amp; Zitadel)</w:t>
      </w:r>
    </w:p>
    <w:p>
      <w:pPr>
        <w:spacing w:after="120" w:line="276" w:lineRule="auto"/>
      </w:pPr>
      <w:r>
        <w:rPr>
          <w:rFonts w:ascii="Arial" w:hAnsi="Arial"/>
          <w:color w:val="323232"/>
          <w:sz w:val="22"/>
        </w:rPr>
        <w:t>Una capa de integración zero-trust que implementa APISix como pasarela de borde y Zitadel como plano de identidad de seguridad. Protege microservicios heredados sin requerir cambios de código.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443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gate_security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44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787878"/>
          <w:sz w:val="19"/>
        </w:rPr>
        <w:t>Architecture Blueprint &amp; Reference Flow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color w:val="3C3C3C"/>
          <w:sz w:val="22"/>
        </w:rPr>
        <w:t>Dilemas Técnicos &amp; Soluciones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A: Validación en Borde vs. Carga de Autenticación Centralizada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Consultar a Zitadel para cada solicitud API introduce latencia perjudicial. Validar localmente en el borde requiere sincronizar claves públicas.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Solución: Configuración de APISix para almacenar en caché las JWKs de Zitadel localmente. Los tokens se validan en el borde mediante firmas criptográficas, manteniendo la latencia por debajo de 10ms.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B: Protección de Apps Heredadas (Patrón Header Injection)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Reescribir la lógica de autorización en múltiples APIs heredadas es costoso, lento y propenso a fallas.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Solución: Zitadel valida el token y APISix inyecta encabezados cifrados con el contexto del usuario (User-ID, Tenant-ID, Roles) hacia el upstream. Las aplicaciones heredadas confían en estos headers, blindándolas en 48 horas.</w:t>
            </w:r>
          </w:p>
        </w:tc>
      </w:tr>
    </w:tbl>
    <w:p>
      <w:pPr>
        <w:spacing w:after="240"/>
      </w:pP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0E5C5C"/>
          <w:sz w:val="28"/>
        </w:rPr>
        <w:t>3. Resolución de Identidad &amp; Integración MuleSoft de 3 Capas</w:t>
      </w:r>
    </w:p>
    <w:p>
      <w:pPr>
        <w:spacing w:after="120" w:line="276" w:lineRule="auto"/>
      </w:pPr>
      <w:r>
        <w:rPr>
          <w:rFonts w:ascii="Arial" w:hAnsi="Arial"/>
          <w:color w:val="323232"/>
          <w:sz w:val="22"/>
        </w:rPr>
        <w:t>Una arquitectura MuleSoft de 3 niveles orientada a la seguridad que orquesta Salesforce Health Cloud, Aplicativo Móvil, base Oracle DMS y Data360 para coordinar el registro de donantes y deferrals médicos.</w:t>
      </w:r>
    </w:p>
    <w:p>
      <w:pPr>
        <w:spacing w:before="24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916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l_mulesoft_martech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  <w:jc w:val="center"/>
      </w:pPr>
      <w:r>
        <w:rPr>
          <w:rFonts w:ascii="Arial" w:hAnsi="Arial"/>
          <w:i/>
          <w:color w:val="787878"/>
          <w:sz w:val="19"/>
        </w:rPr>
        <w:t>Architecture Blueprint &amp; Reference Flow</w:t>
      </w:r>
    </w:p>
    <w:p>
      <w:pPr>
        <w:pStyle w:val="Heading3"/>
        <w:keepNext/>
        <w:spacing w:before="240" w:after="120"/>
      </w:pPr>
      <w:r>
        <w:rPr>
          <w:rFonts w:ascii="Arial" w:hAnsi="Arial"/>
          <w:b/>
          <w:color w:val="3C3C3C"/>
          <w:sz w:val="22"/>
        </w:rPr>
        <w:t>Dilemas Técnicos &amp; Soluciones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A: Leyes de Privacidad PII vs. Resolución de Identidad (SSN)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Las regulaciones de EE. UU. exigen verificar la identidad del donante contra registros de inaptitud, pero normas estrictas de HIPAA prohíben almacenar o transmitir el SSN completo en dispositivos móviles.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Solución: Resolución de identidad en Data360 cruzando Nombre, DOB y solo los últimos 4/5 dígitos del SSN (comparados como hashes cifrados de una vía) bajo la DMS System API.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B: Desacoplamiento de APIs en 3 Capas de MuleSoft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Las conexiones punto a punto directas entre Salesforce y la base Oracle generan alto acoplamiento, haciendo que cualquier cambio de base de datos sea lento y riesgoso.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Solución: Adopción del patrón MuleSoft de 3 capas (Experience, Process, System APIs). Las migraciones de base de datos se ejecutan de forma segura debajo de la System API.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9E2"/>
            <w:tcMar>
              <w:top w:w="144" w:type="dxa"/>
              <w:bottom w:w="144" w:type="dxa"/>
              <w:left w:w="216" w:type="dxa"/>
              <w:right w:w="216" w:type="dxa"/>
            </w:tcMar>
            <w:tcBorders>
              <w:left w:val="single" w:sz="36" w:space="0" w:color="E2CC3F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8C7B13"/>
                <w:sz w:val="22"/>
              </w:rPr>
              <w:t>Dilema C: Bloqueo de Mensajería en Tiempo Real ante Inaptitud</w:t>
            </w:r>
          </w:p>
          <w:p>
            <w:pPr>
              <w:spacing w:after="120"/>
            </w:pPr>
            <w:r>
              <w:rPr>
                <w:rFonts w:ascii="Arial" w:hAnsi="Arial"/>
                <w:color w:val="505050"/>
                <w:sz w:val="20"/>
              </w:rPr>
              <w:t>Los procesos programados diarios dejan ventanas de error abiertas, con riesgo de enviar promociones a donantes suspendidos.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color w:val="0E5C5C"/>
                <w:sz w:val="20"/>
              </w:rPr>
              <w:t>Solución: Despliegue de un Event Listener asíncrono. Las suspensiones en el centro de donación emiten un evento que actualiza Salesforce Health Cloud y Marketing Cloud en menos de 1 segundo.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