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  <w:t>Delícias Gourmet</w:t>
      </w:r>
    </w:p>
    <w:p>
      <w:pPr>
        <w:pStyle w:val="Normal"/>
        <w:pBdr/>
        <w:jc w:val="center"/>
        <w:rPr>
          <w:color w:val="0000FF"/>
        </w:rPr>
      </w:pPr>
      <w:r>
        <w:rPr>
          <w:color w:val="0000FF"/>
          <w:sz w:val="40"/>
          <w:szCs w:val="40"/>
        </w:rPr>
        <w:t>...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</w:r>
      <w:r>
        <w:rPr>
          <w:color w:val="0000FF"/>
          <w:sz w:val="24"/>
          <w:szCs w:val="24"/>
        </w:rPr>
        <w:t>Guilherme Henrique Puhl</w:t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left="576" w:hanging="0"/>
        <w:rPr/>
      </w:pPr>
      <w:r>
        <w:rPr/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pBdr/>
        <w:rPr/>
      </w:pPr>
      <w:r>
        <w:rPr/>
        <w:t>Modos de operação</w:t>
      </w:r>
    </w:p>
    <w:p>
      <w:pPr>
        <w:pStyle w:val="Ttulo3"/>
        <w:pBdr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Identificam-se aqui os modos requeridos de operação, tais como: Back-End-Front-End, Móvel, Stand-Alone, ...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rPr/>
      </w:pPr>
      <w:r>
        <w:rPr/>
        <w:t>R1.1 – Controle de materiais: Responsável por adquirir os ingredientes e materiais necessários para a produção de alimentos, garantindo a qualidade dos produtos em estreita colaboração com os fornecedores.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R1.2 – Garantia de qualidade e eficiência dos produtos finais: Responsável por monitorar o processo de produção e garantir que todos os ingredientes e materiais estejam dentro dos padrões exigidos.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R1.3 – Compra, armazenamento e controle de materiais: Responsável por comprar os materiais e ingredientes e gerenciar o armazenamento e controle deles.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R1.4 – Produzir Alimentos: Responsável por coordenar a utilização dos ingredientes e materiais no processo de fabricação dos alimentos.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R1.5 – Controlar a produção com otimização do uso de materiais: Responsável por trabalhar com os líderes de cada linha de produção para planejar e otimizar a utilização dos materiais.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R1.7 - Negociação com fornecedores: Responsável por negociar os melhores preços com fornecedores para reduzir os custos de produção.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R1.8 - Conformidade com normas de segurança alimentar e regulamentações governamentais: Responsável por garantir que a produção esteja em conformidade com as normas de segurança alimentar e regulamentações governamentais.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R1.9 - Planejamento de compras futuras: Responsável por planejar futuras compras de ingredientes e materiais com base nas informações sobre a demanda do mercado e as preferências dos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  <w:t>R1.1 – Controle de materiais</w:t>
      </w:r>
    </w:p>
    <w:p>
      <w:pPr>
        <w:pStyle w:val="Normal"/>
        <w:rPr/>
      </w:pPr>
      <w:r>
        <w:rPr/>
        <w:t>R1.2 – Garantia de qualidade e eficiência dos produtos finais</w:t>
      </w:r>
    </w:p>
    <w:p>
      <w:pPr>
        <w:pStyle w:val="Normal"/>
        <w:rPr/>
      </w:pPr>
      <w:r>
        <w:rPr/>
        <w:t xml:space="preserve">R1.3 – Compra, </w:t>
      </w:r>
      <w:r>
        <w:rPr/>
        <w:t>armazenamento</w:t>
      </w:r>
      <w:r>
        <w:rPr/>
        <w:t xml:space="preserve"> e controle de materiais</w:t>
      </w:r>
    </w:p>
    <w:p>
      <w:pPr>
        <w:pStyle w:val="Normal"/>
        <w:rPr/>
      </w:pPr>
      <w:r>
        <w:rPr/>
        <w:t>R1.4 – Produzir Alimentos</w:t>
      </w:r>
    </w:p>
    <w:p>
      <w:pPr>
        <w:pStyle w:val="Normal"/>
        <w:rPr/>
      </w:pPr>
      <w:r>
        <w:rPr/>
        <w:t xml:space="preserve">R1.5 – </w:t>
      </w:r>
      <w:r>
        <w:rPr/>
        <w:t xml:space="preserve">Controlar produção com otimização de uso de materiais </w:t>
      </w:r>
    </w:p>
    <w:p>
      <w:pPr>
        <w:pStyle w:val="Normal"/>
        <w:rPr/>
      </w:pPr>
      <w:r>
        <w:rPr/>
        <w:t>R1.6 -  Controlar entrega de produtos e preferência de clientes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1"/>
        <w:ind w:left="0" w:right="0" w:hanging="0"/>
        <w:rPr/>
      </w:pPr>
      <w:r>
        <w:rPr/>
        <w:t xml:space="preserve">-  </w:t>
      </w:r>
      <w:r>
        <w:rPr/>
        <w:t>O</w:t>
      </w:r>
      <w:r>
        <w:rPr/>
        <w:t xml:space="preserve"> ator "Gerente de compras" tem dois casos de uso: "Realizar pedidos" e "Negociar preços".</w:t>
      </w:r>
    </w:p>
    <w:p>
      <w:pPr>
        <w:pStyle w:val="Normal1"/>
        <w:ind w:left="0" w:right="0" w:hanging="0"/>
        <w:rPr/>
      </w:pPr>
      <w:r>
        <w:rPr/>
        <w:t>-  O ator "Supervisor de estoque" tem dois casos de uso: "Receber materiais" e "Armazenar materiais".</w:t>
      </w:r>
    </w:p>
    <w:p>
      <w:pPr>
        <w:pStyle w:val="Normal1"/>
        <w:ind w:left="0" w:right="0" w:hanging="0"/>
        <w:rPr/>
      </w:pPr>
      <w:r>
        <w:rPr/>
        <w:t>-  O ator "Coordenador de produção" tem dois casos de uso: "Planejar produção" e "Utilizar materiais".</w:t>
      </w:r>
    </w:p>
    <w:p>
      <w:pPr>
        <w:pStyle w:val="Normal1"/>
        <w:ind w:left="0" w:right="0" w:hanging="0"/>
        <w:rPr/>
      </w:pPr>
      <w:r>
        <w:rPr/>
        <w:t>-  O ator "Analista de qualidade" tem dois casos de uso: "Monitorar produção" e "Realizar inspeções".</w:t>
      </w:r>
    </w:p>
    <w:p>
      <w:pPr>
        <w:pStyle w:val="Normal1"/>
        <w:pBdr/>
        <w:ind w:left="0" w:right="0" w:hanging="0"/>
        <w:jc w:val="both"/>
        <w:rPr/>
      </w:pPr>
      <w:r>
        <w:rPr/>
        <w:t>- O ator "Responsável por vendas e distribuição" tem dois casos de uso: "Coordenar entregas" e "Registrar vendas".</w:t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@startuml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left to right direction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actor "Gerente de compras" as gc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 xml:space="preserve">actor "Suprevisor(a) de estoque" as se 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 xml:space="preserve">actor "Coordenador de produção" as cp 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actor "Analista de qualidade" as aq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actor "Responsável por vendas" as rv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  <w:t>rectangle "Caso de uso"{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aq -- (Monitorar produção)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aq -- (Realizar inspeções)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gc --&gt; se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gc -- (Adquirir ingredientes)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se -- (Gerenciar armazenamento)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se -- (Organizar materiais)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gc -- (Realizar pedidos)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gc -- (Negociar preços)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cp -- (Planejar produção)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cp -- (Utilizar materiais)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rv -- (Coordenar entregas)</w:t>
            </w:r>
          </w:p>
          <w:p>
            <w:pPr>
              <w:pStyle w:val="Contedodatabela"/>
              <w:rPr/>
            </w:pPr>
            <w:r>
              <w:rPr/>
              <w:t xml:space="preserve">    </w:t>
            </w:r>
            <w:r>
              <w:rPr/>
              <w:t>rv -- (Registrar vendas)</w:t>
            </w:r>
          </w:p>
          <w:p>
            <w:pPr>
              <w:pStyle w:val="Contedodatabela"/>
              <w:rPr/>
            </w:pPr>
            <w:r>
              <w:rPr/>
              <w:t>}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  <w:t>@enduml</w:t>
            </w:r>
          </w:p>
        </w:tc>
      </w:tr>
    </w:tbl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6033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pBdr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3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open?id=14-OfxrvT5pD4sblFt234r8NPBNwt2Hm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9</Pages>
  <Words>1453</Words>
  <Characters>8376</Characters>
  <CharactersWithSpaces>9758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2023-05-10T21:58:03Z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