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before="108"/>
        <w:ind w:left="0" w:right="890" w:firstLine="0"/>
        <w:jc w:val="center"/>
      </w:pPr>
      <w:r>
        <w:rPr>
          <w:u w:val="single"/>
        </w:rPr>
        <w:t>TOBB EKONOMİ VE TEKNOLOJİ ÜNİVERSİTESİ</w:t>
      </w:r>
    </w:p>
    <w:p>
      <w:pPr>
        <w:spacing w:before="0"/>
        <w:ind w:left="0" w:right="827" w:firstLine="0"/>
        <w:jc w:val="center"/>
        <w:rPr>
          <w:b/>
          <w:sz w:val="24"/>
        </w:rPr>
      </w:pPr>
      <w:r>
        <w:rPr>
          <w:rFonts w:ascii="Times New Roman" w:hAnsi="Times New Roman"/>
          <w:sz w:val="24"/>
          <w:u w:val="single"/>
        </w:rPr>
        <w:t> </w:t>
      </w:r>
      <w:r>
        <w:rPr>
          <w:b/>
          <w:sz w:val="24"/>
          <w:u w:val="single"/>
        </w:rPr>
        <w:t>FEN BİLİMLERİ ENSTİTÜSÜ</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12"/>
        <w:ind w:left="638" w:right="1469" w:firstLine="0"/>
        <w:jc w:val="center"/>
        <w:rPr>
          <w:b/>
          <w:sz w:val="24"/>
        </w:rPr>
      </w:pPr>
      <w:r>
        <w:rPr>
          <w:b/>
          <w:sz w:val="24"/>
        </w:rPr>
        <w:t>EVRİMSEL ALGORİTMALAR İLE DEĞİŞİK PİYASA ŞARTLARINDA EN UYGUN OPSİYON PARAMETRELERİNİN TESPİTİ VE ENİYİLEMESİNE BAĞLI ALIM-SATIM PLATFORMU GELİŞTİRİLMESİ</w:t>
      </w:r>
    </w:p>
    <w:p>
      <w:pPr>
        <w:pStyle w:val="BodyText"/>
        <w:rPr>
          <w:b/>
          <w:sz w:val="26"/>
        </w:rPr>
      </w:pPr>
    </w:p>
    <w:p>
      <w:pPr>
        <w:spacing w:before="215"/>
        <w:ind w:left="3178" w:right="0" w:firstLine="0"/>
        <w:jc w:val="left"/>
        <w:rPr>
          <w:b/>
          <w:sz w:val="24"/>
        </w:rPr>
      </w:pPr>
      <w:r>
        <w:rPr>
          <w:b/>
          <w:sz w:val="24"/>
        </w:rPr>
        <w:t>DOKTORA 4. TİK RAPORU</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spacing w:line="547" w:lineRule="auto" w:before="197"/>
        <w:ind w:left="2775" w:right="3468" w:firstLine="0"/>
        <w:jc w:val="center"/>
        <w:rPr>
          <w:b/>
          <w:sz w:val="24"/>
        </w:rPr>
      </w:pPr>
      <w:r>
        <w:rPr>
          <w:b/>
          <w:sz w:val="24"/>
        </w:rPr>
        <w:t>Bilgisayar Mühendisliği Anabilim Dalı Mustafa UÇAR</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3"/>
        <w:rPr>
          <w:b/>
          <w:sz w:val="22"/>
        </w:rPr>
      </w:pPr>
    </w:p>
    <w:p>
      <w:pPr>
        <w:spacing w:before="0"/>
        <w:ind w:left="0" w:right="823" w:firstLine="0"/>
        <w:jc w:val="center"/>
        <w:rPr>
          <w:b/>
          <w:sz w:val="24"/>
        </w:rPr>
      </w:pPr>
      <w:r>
        <w:rPr>
          <w:b/>
          <w:sz w:val="24"/>
        </w:rPr>
        <w:t>Haziran 2018</w:t>
      </w:r>
    </w:p>
    <w:p>
      <w:pPr>
        <w:spacing w:after="0"/>
        <w:jc w:val="center"/>
        <w:rPr>
          <w:sz w:val="24"/>
        </w:rPr>
        <w:sectPr>
          <w:type w:val="continuous"/>
          <w:pgSz w:w="11910" w:h="16840"/>
          <w:pgMar w:top="1580" w:bottom="280" w:left="168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2"/>
        </w:rPr>
      </w:pPr>
    </w:p>
    <w:p>
      <w:pPr>
        <w:pStyle w:val="ListParagraph"/>
        <w:numPr>
          <w:ilvl w:val="0"/>
          <w:numId w:val="1"/>
        </w:numPr>
        <w:tabs>
          <w:tab w:pos="890" w:val="left" w:leader="none"/>
        </w:tabs>
        <w:spacing w:line="240" w:lineRule="auto" w:before="90" w:after="0"/>
        <w:ind w:left="590" w:right="0" w:firstLine="0"/>
        <w:jc w:val="left"/>
        <w:rPr>
          <w:b/>
          <w:sz w:val="24"/>
        </w:rPr>
      </w:pPr>
      <w:r>
        <w:rPr>
          <w:b/>
          <w:color w:val="000009"/>
          <w:sz w:val="24"/>
        </w:rPr>
        <w:t>GİRİŞ</w:t>
      </w:r>
    </w:p>
    <w:p>
      <w:pPr>
        <w:pStyle w:val="BodyText"/>
        <w:rPr>
          <w:b/>
          <w:sz w:val="26"/>
        </w:rPr>
      </w:pPr>
    </w:p>
    <w:p>
      <w:pPr>
        <w:pStyle w:val="BodyText"/>
        <w:spacing w:before="8"/>
        <w:rPr>
          <w:b/>
          <w:sz w:val="27"/>
        </w:rPr>
      </w:pPr>
    </w:p>
    <w:p>
      <w:pPr>
        <w:pStyle w:val="BodyText"/>
        <w:spacing w:line="360" w:lineRule="auto"/>
        <w:ind w:left="590" w:right="1419"/>
        <w:jc w:val="both"/>
      </w:pPr>
      <w:r>
        <w:rPr>
          <w:color w:val="000009"/>
        </w:rPr>
        <w:t>6 aylık bu dönemden önce ETF ve hisse senetleriyle finansal stratejiler geliştirilmiş, daha sonra bu varlıkların kendileri yerine opsiyonların kullanılmasıyla başarımın arttırılması denenmiştir. Bu dönemde ise direkt olarak opsiyon alım-satım sinyali oluşturacak bir yapay sinir ağı modeli üzerine çalışılmış fakat başarılı sonuçlar elde edilememiştir.</w:t>
      </w:r>
    </w:p>
    <w:p>
      <w:pPr>
        <w:pStyle w:val="BodyText"/>
        <w:spacing w:before="10"/>
        <w:rPr>
          <w:sz w:val="20"/>
        </w:rPr>
      </w:pPr>
    </w:p>
    <w:p>
      <w:pPr>
        <w:pStyle w:val="BodyText"/>
        <w:spacing w:line="360" w:lineRule="auto" w:before="1"/>
        <w:ind w:left="590" w:right="1416"/>
        <w:jc w:val="both"/>
      </w:pPr>
      <w:r>
        <w:rPr>
          <w:color w:val="000009"/>
        </w:rPr>
        <w:t>Yapılan bir diğer çalışmada ise Ömer Berat SEZER’in tez çalışmasının bir parçası olan “Finansal zaman serisi verilerinin, teknik analiz verileri kullanılarak görüntü verisine dönüştürülmesi ve görüntülerin derin konvolüsyonel sinir ağı ile finansal analiz yöntemi” isimli çalışmasına opsion stratejilerinin eklenmesiyle başarımın arttırılması hedeflenmiş, %4,82 olarak tekrar edilen yıllık ortalama kâr %11,42’ye çıkartılmıştır.</w:t>
      </w:r>
    </w:p>
    <w:p>
      <w:pPr>
        <w:spacing w:after="0" w:line="360" w:lineRule="auto"/>
        <w:jc w:val="both"/>
        <w:sectPr>
          <w:footerReference w:type="default" r:id="rId5"/>
          <w:pgSz w:w="11910" w:h="16840"/>
          <w:pgMar w:footer="1050" w:header="0" w:top="1580" w:bottom="1240" w:left="1680" w:right="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pStyle w:val="Heading2"/>
        <w:numPr>
          <w:ilvl w:val="0"/>
          <w:numId w:val="1"/>
        </w:numPr>
        <w:tabs>
          <w:tab w:pos="890" w:val="left" w:leader="none"/>
        </w:tabs>
        <w:spacing w:line="240" w:lineRule="auto" w:before="90" w:after="0"/>
        <w:ind w:left="590" w:right="0" w:firstLine="0"/>
        <w:jc w:val="left"/>
      </w:pPr>
      <w:r>
        <w:rPr>
          <w:color w:val="000009"/>
          <w:spacing w:val="-13"/>
        </w:rPr>
        <w:t>YAPAY </w:t>
      </w:r>
      <w:r>
        <w:rPr>
          <w:color w:val="000009"/>
        </w:rPr>
        <w:t>SİNİR AĞI DESTEKLİ OPSİYON</w:t>
      </w:r>
      <w:r>
        <w:rPr>
          <w:color w:val="000009"/>
          <w:spacing w:val="-10"/>
        </w:rPr>
        <w:t> </w:t>
      </w:r>
      <w:r>
        <w:rPr>
          <w:color w:val="000009"/>
          <w:spacing w:val="-3"/>
        </w:rPr>
        <w:t>STRATEJİSİ</w:t>
      </w:r>
    </w:p>
    <w:p>
      <w:pPr>
        <w:pStyle w:val="BodyText"/>
        <w:rPr>
          <w:b/>
          <w:sz w:val="26"/>
        </w:rPr>
      </w:pPr>
    </w:p>
    <w:p>
      <w:pPr>
        <w:pStyle w:val="BodyText"/>
        <w:rPr>
          <w:b/>
          <w:sz w:val="26"/>
        </w:rPr>
      </w:pPr>
    </w:p>
    <w:p>
      <w:pPr>
        <w:pStyle w:val="BodyText"/>
        <w:spacing w:before="7"/>
        <w:rPr>
          <w:b/>
          <w:sz w:val="22"/>
        </w:rPr>
      </w:pPr>
    </w:p>
    <w:p>
      <w:pPr>
        <w:pStyle w:val="ListParagraph"/>
        <w:numPr>
          <w:ilvl w:val="1"/>
          <w:numId w:val="1"/>
        </w:numPr>
        <w:tabs>
          <w:tab w:pos="950" w:val="left" w:leader="none"/>
        </w:tabs>
        <w:spacing w:line="240" w:lineRule="auto" w:before="0" w:after="0"/>
        <w:ind w:left="950" w:right="0" w:hanging="360"/>
        <w:jc w:val="left"/>
        <w:rPr>
          <w:b/>
          <w:sz w:val="24"/>
        </w:rPr>
      </w:pPr>
      <w:r>
        <w:rPr>
          <w:b/>
          <w:color w:val="000009"/>
          <w:sz w:val="24"/>
        </w:rPr>
        <w:t>Giriş</w:t>
      </w:r>
    </w:p>
    <w:p>
      <w:pPr>
        <w:pStyle w:val="BodyText"/>
        <w:rPr>
          <w:b/>
          <w:sz w:val="26"/>
        </w:rPr>
      </w:pPr>
    </w:p>
    <w:p>
      <w:pPr>
        <w:pStyle w:val="BodyText"/>
        <w:spacing w:line="360" w:lineRule="auto" w:before="199"/>
        <w:ind w:left="590" w:right="1415"/>
        <w:jc w:val="both"/>
      </w:pPr>
      <w:r>
        <w:rPr>
          <w:color w:val="000009"/>
        </w:rPr>
        <w:t>Bu zamana kadar yapılan çalışmalarda öncelikle finansal varlığın kendisinin en uygun anda alınıp satılarak kâr elde edilmesine çalışılmış, daha sonra aynı noktalarda varlığın kendisi yerine opsiyonların kullanılmasıyla elde edilen kârın arttırılması hedeflenmiştir. Bu yaklaşım doğru gibi görünse de opsiyonlara ödenen sözleşme bedelleri nedeniyle her zaman beklendiği gibi kârı arttırmayabilir. Örneğin şu an fiyatı 46,19$ olan Intel hissesini 2 ay sonra 46,00$’dan satın alma opsiyonu 2,45$’dır. Bu nedenle hissenin kendisi alındığında kâr etmek için fiyatının 46,19$’ı geçmesi yeterliyken opsiyon satın alındığında kâr edilmesi için fiyatının 48,45$’ı geçmesi gerekmektedir. Bir başka deyişle varlığın fiyatı %1,04 artmadığı sürece opsiyon stratejisi zarar ettirmektedir.</w:t>
      </w:r>
    </w:p>
    <w:p>
      <w:pPr>
        <w:pStyle w:val="BodyText"/>
        <w:spacing w:before="10"/>
        <w:rPr>
          <w:sz w:val="20"/>
        </w:rPr>
      </w:pPr>
    </w:p>
    <w:p>
      <w:pPr>
        <w:pStyle w:val="BodyText"/>
        <w:spacing w:line="360" w:lineRule="auto"/>
        <w:ind w:left="590" w:right="1415"/>
        <w:jc w:val="both"/>
      </w:pPr>
      <w:r>
        <w:rPr>
          <w:color w:val="000009"/>
        </w:rPr>
        <w:t>Bu nedenle şimdiye kadar kullanılan yaklaşım yerine direkt olarak opsiyon alım- satımı sağlayacak bir yapay sinir ağı modeli üzerine çalışılmıştır. Bunun için öncelikle fiyatın çok artacağı, az artacağı, değişmeyeceği (veya az değişeceği), az azalacağı ve çok azalacağı dönemde kullanılmak üzere 5 opsiyon stratejisi seçilmiştir. Bunlar sırasıyla Long Call, Bull Spread, </w:t>
      </w:r>
      <w:r>
        <w:rPr>
          <w:color w:val="000009"/>
          <w:spacing w:val="-3"/>
        </w:rPr>
        <w:t>Butterfly, </w:t>
      </w:r>
      <w:r>
        <w:rPr>
          <w:color w:val="000009"/>
        </w:rPr>
        <w:t>Bear Spread ve Long Put stratejileridir. Daha sonra eğitim dönemindeki her bir gün için bu stratejilerin tamamı uygulanmış ve getirdikleri kârlar hesaplanmıştır. En yüksek kârı getiren strateji, o gün uygulanması gereken strateji olarak belirlenmiştir. Son olarak her bir gün için çeşitli teknik göstergeler (BHO, standart sapma, RSI, Williams %R, ROC) girdi, uygulanması gereken opsiyon stratejisi çıktı olarak verilerek yapay sinir ağı eğitilmiş ve test döneminin her gününde uygulanması gereken stratejinin tahmin edilmesi sağlanmıştır.</w:t>
      </w:r>
    </w:p>
    <w:p>
      <w:pPr>
        <w:spacing w:after="0" w:line="360" w:lineRule="auto"/>
        <w:jc w:val="both"/>
        <w:sectPr>
          <w:pgSz w:w="11910" w:h="16840"/>
          <w:pgMar w:header="0" w:footer="1050" w:top="1580" w:bottom="1240" w:left="1680" w:right="0"/>
        </w:sectPr>
      </w:pPr>
    </w:p>
    <w:p>
      <w:pPr>
        <w:pStyle w:val="Heading2"/>
        <w:numPr>
          <w:ilvl w:val="1"/>
          <w:numId w:val="1"/>
        </w:numPr>
        <w:tabs>
          <w:tab w:pos="950" w:val="left" w:leader="none"/>
        </w:tabs>
        <w:spacing w:line="240" w:lineRule="auto" w:before="184" w:after="0"/>
        <w:ind w:left="950" w:right="0" w:hanging="360"/>
        <w:jc w:val="left"/>
      </w:pPr>
      <w:r>
        <w:rPr>
          <w:color w:val="000009"/>
        </w:rPr>
        <w:t>Kullanılan</w:t>
      </w:r>
      <w:r>
        <w:rPr>
          <w:color w:val="000009"/>
          <w:spacing w:val="-1"/>
        </w:rPr>
        <w:t> </w:t>
      </w:r>
      <w:r>
        <w:rPr>
          <w:color w:val="000009"/>
        </w:rPr>
        <w:t>Stratejiler</w:t>
      </w:r>
    </w:p>
    <w:p>
      <w:pPr>
        <w:pStyle w:val="BodyText"/>
        <w:rPr>
          <w:b/>
          <w:sz w:val="26"/>
        </w:rPr>
      </w:pPr>
    </w:p>
    <w:p>
      <w:pPr>
        <w:pStyle w:val="BodyText"/>
        <w:spacing w:before="8"/>
        <w:rPr>
          <w:b/>
          <w:sz w:val="27"/>
        </w:rPr>
      </w:pPr>
    </w:p>
    <w:p>
      <w:pPr>
        <w:pStyle w:val="ListParagraph"/>
        <w:numPr>
          <w:ilvl w:val="2"/>
          <w:numId w:val="1"/>
        </w:numPr>
        <w:tabs>
          <w:tab w:pos="1698" w:val="left" w:leader="none"/>
        </w:tabs>
        <w:spacing w:line="240" w:lineRule="auto" w:before="0" w:after="0"/>
        <w:ind w:left="1698" w:right="0" w:hanging="540"/>
        <w:jc w:val="left"/>
        <w:rPr>
          <w:b/>
          <w:sz w:val="24"/>
        </w:rPr>
      </w:pPr>
      <w:r>
        <w:rPr>
          <w:b/>
          <w:color w:val="000009"/>
          <w:sz w:val="24"/>
        </w:rPr>
        <w:t>Long</w:t>
      </w:r>
      <w:r>
        <w:rPr>
          <w:b/>
          <w:color w:val="000009"/>
          <w:spacing w:val="-1"/>
          <w:sz w:val="24"/>
        </w:rPr>
        <w:t> </w:t>
      </w:r>
      <w:r>
        <w:rPr>
          <w:b/>
          <w:color w:val="000009"/>
          <w:sz w:val="24"/>
        </w:rPr>
        <w:t>Call</w:t>
      </w:r>
    </w:p>
    <w:p>
      <w:pPr>
        <w:pStyle w:val="BodyText"/>
        <w:spacing w:before="10"/>
        <w:rPr>
          <w:b/>
          <w:sz w:val="32"/>
        </w:rPr>
      </w:pPr>
    </w:p>
    <w:p>
      <w:pPr>
        <w:pStyle w:val="BodyText"/>
        <w:spacing w:line="360" w:lineRule="auto"/>
        <w:ind w:left="590" w:right="1414"/>
        <w:jc w:val="both"/>
      </w:pPr>
      <w:r>
        <w:rPr>
          <w:color w:val="000009"/>
        </w:rPr>
        <w:t>Bu stratejide varlığın kendisi yerine satın alma opsiyonu çok sayıda satın alınır. Eğer varlığın fiyatı en az opsiyona ödenen para kadar artmazsa zarar edilir. Fakat varlığın fiyatı artarsa opsiyon daha ucuz olduğu için varlığın kendisini almaya göre çok daha fazla kâr elde edilebilir.</w:t>
      </w:r>
    </w:p>
    <w:p>
      <w:pPr>
        <w:pStyle w:val="BodyText"/>
        <w:spacing w:before="3"/>
        <w:rPr>
          <w:sz w:val="19"/>
        </w:rPr>
      </w:pPr>
    </w:p>
    <w:p>
      <w:pPr>
        <w:pStyle w:val="Heading1"/>
        <w:spacing w:before="91"/>
        <w:ind w:right="848"/>
      </w:pPr>
      <w:r>
        <w:rPr/>
        <w:t>Long Call</w:t>
      </w:r>
    </w:p>
    <w:p>
      <w:pPr>
        <w:spacing w:before="154"/>
        <w:ind w:left="1343" w:right="0" w:firstLine="0"/>
        <w:jc w:val="left"/>
        <w:rPr>
          <w:rFonts w:ascii="Liberation Sans"/>
          <w:sz w:val="20"/>
        </w:rPr>
      </w:pPr>
      <w:r>
        <w:rPr/>
        <w:pict>
          <v:group style="position:absolute;margin-left:153.5pt;margin-top:13.62991pt;width:356.9pt;height:113.8pt;mso-position-horizontal-relative:page;mso-position-vertical-relative:paragraph;z-index:-82120" coordorigin="3070,273" coordsize="7138,2276">
            <v:shape style="position:absolute;left:3290;top:272;width:6753;height:2276" coordorigin="3290,273" coordsize="6753,2276" path="m6709,2549l3375,2549,3375,273,10043,273,10043,2549,6709,2549xm3375,2254l3375,2169m3375,2254l3375,2169m3709,2254l3709,2169m3709,2254l3709,2169m4042,2254l4042,2169m4042,2254l4042,2169m4375,2254l4375,2169m4375,2254l4375,2169m4709,2254l4709,2169m4709,2254l4709,2169m5042,2254l5042,2169m5042,2254l5042,2169m5375,2254l5375,2169m5375,2254l5375,2169m5709,2254l5709,2169m5709,2254l5709,2169m6042,2254l6042,2169m6042,2254l6042,2169m6376,2254l6376,2169m6376,2254l6376,2169m6709,2254l6709,2169m6709,2254l6709,2169m7042,2254l7042,2169m7042,2254l7042,2169m7376,2254l7376,2169m7376,2254l7376,2169m7709,2254l7709,2169m7709,2254l7709,2169m8043,2254l8043,2169m8043,2254l8043,2169m8376,2254l8376,2169m8376,2254l8376,2169m8710,2254l8710,2169m8710,2254l8710,2169m9043,2254l9043,2169m9043,2254l9043,2169m9376,2254l9376,2169m9376,2254l9376,2169m9710,2254l9710,2169m9710,2254l9710,2169m10043,2254l10043,2169m10043,2254l10043,2169m3375,2169l10043,2169m3290,2549l3375,2549m3290,2549l3375,2549m3290,2169l3375,2169m3290,2169l3375,2169m3290,1790l3375,1790m3290,1790l3375,1790m3290,1410l3375,1410m3290,1410l3375,1410m3290,1031l3375,1031m3290,1031l3375,1031m3290,652l3375,652m3290,652l3375,652m3290,273l3375,273m3290,273l3375,273m3375,2549l3375,273e" filled="false" stroked="true" strokeweight="0pt" strokecolor="#b2b2b2">
              <v:path arrowok="t"/>
              <v:stroke dashstyle="solid"/>
            </v:shape>
            <v:shape style="position:absolute;left:3375;top:461;width:6668;height:1897" coordorigin="3375,462" coordsize="6668,1897" path="m3375,2359l3375,2359,6709,2359,7042,2169,7376,1979,7709,1790,8043,1600,8376,1410,8710,1221,9043,1031,9376,841,9710,652,10043,462e" filled="false" stroked="true" strokeweight="2.26749pt" strokecolor="#004485">
              <v:path arrowok="t"/>
              <v:stroke dashstyle="solid"/>
            </v:shape>
            <v:shape style="position:absolute;left:3070;top:272;width:7138;height:2276" type="#_x0000_t202" filled="false" stroked="false">
              <v:textbox inset="0,0,0,0">
                <w:txbxContent>
                  <w:p>
                    <w:pPr>
                      <w:spacing w:line="240" w:lineRule="auto" w:before="6"/>
                      <w:rPr>
                        <w:sz w:val="22"/>
                      </w:rPr>
                    </w:pPr>
                  </w:p>
                  <w:p>
                    <w:pPr>
                      <w:spacing w:before="0"/>
                      <w:ind w:left="60" w:right="0" w:firstLine="0"/>
                      <w:jc w:val="left"/>
                      <w:rPr>
                        <w:rFonts w:ascii="Liberation Sans"/>
                        <w:sz w:val="20"/>
                      </w:rPr>
                    </w:pPr>
                    <w:r>
                      <w:rPr>
                        <w:rFonts w:ascii="Liberation Sans"/>
                        <w:sz w:val="20"/>
                      </w:rPr>
                      <w:t>8</w:t>
                    </w:r>
                  </w:p>
                  <w:p>
                    <w:pPr>
                      <w:spacing w:before="150"/>
                      <w:ind w:left="60" w:right="0" w:firstLine="0"/>
                      <w:jc w:val="left"/>
                      <w:rPr>
                        <w:rFonts w:ascii="Liberation Sans"/>
                        <w:sz w:val="20"/>
                      </w:rPr>
                    </w:pPr>
                    <w:r>
                      <w:rPr>
                        <w:rFonts w:ascii="Liberation Sans"/>
                        <w:sz w:val="20"/>
                      </w:rPr>
                      <w:t>6</w:t>
                    </w:r>
                  </w:p>
                  <w:p>
                    <w:pPr>
                      <w:spacing w:before="150"/>
                      <w:ind w:left="60" w:right="0" w:firstLine="0"/>
                      <w:jc w:val="left"/>
                      <w:rPr>
                        <w:rFonts w:ascii="Liberation Sans"/>
                        <w:sz w:val="20"/>
                      </w:rPr>
                    </w:pPr>
                    <w:r>
                      <w:rPr>
                        <w:rFonts w:ascii="Liberation Sans"/>
                        <w:sz w:val="20"/>
                      </w:rPr>
                      <w:t>4</w:t>
                    </w:r>
                  </w:p>
                  <w:p>
                    <w:pPr>
                      <w:spacing w:before="148"/>
                      <w:ind w:left="60" w:right="0" w:firstLine="0"/>
                      <w:jc w:val="left"/>
                      <w:rPr>
                        <w:rFonts w:ascii="Liberation Sans"/>
                        <w:sz w:val="20"/>
                      </w:rPr>
                    </w:pPr>
                    <w:r>
                      <w:rPr>
                        <w:rFonts w:ascii="Liberation Sans"/>
                        <w:sz w:val="20"/>
                      </w:rPr>
                      <w:t>2</w:t>
                    </w:r>
                  </w:p>
                  <w:p>
                    <w:pPr>
                      <w:spacing w:before="150"/>
                      <w:ind w:left="60" w:right="0" w:firstLine="0"/>
                      <w:jc w:val="left"/>
                      <w:rPr>
                        <w:rFonts w:ascii="Liberation Sans"/>
                        <w:sz w:val="20"/>
                      </w:rPr>
                    </w:pPr>
                    <w:r>
                      <w:rPr>
                        <w:rFonts w:ascii="Liberation Sans"/>
                        <w:sz w:val="20"/>
                      </w:rPr>
                      <w:t>0</w:t>
                    </w:r>
                  </w:p>
                  <w:p>
                    <w:pPr>
                      <w:spacing w:line="79" w:lineRule="auto" w:before="63"/>
                      <w:ind w:left="0" w:right="0" w:firstLine="0"/>
                      <w:jc w:val="left"/>
                      <w:rPr>
                        <w:rFonts w:ascii="Liberation Sans"/>
                        <w:sz w:val="20"/>
                      </w:rPr>
                    </w:pPr>
                    <w:r>
                      <w:rPr>
                        <w:rFonts w:ascii="Liberation Sans"/>
                        <w:position w:val="-12"/>
                        <w:sz w:val="20"/>
                      </w:rPr>
                      <w:t>-2 </w:t>
                    </w:r>
                    <w:r>
                      <w:rPr>
                        <w:rFonts w:ascii="Liberation Sans"/>
                        <w:sz w:val="20"/>
                      </w:rPr>
                      <w:t>90 91 92 93 94 95 96 97 98 99 100101102103104105106107108109110</w:t>
                    </w:r>
                  </w:p>
                </w:txbxContent>
              </v:textbox>
              <w10:wrap type="none"/>
            </v:shape>
            <w10:wrap type="none"/>
          </v:group>
        </w:pict>
      </w:r>
      <w:r>
        <w:rPr/>
        <w:pict>
          <v:shape style="position:absolute;margin-left:131.352539pt;margin-top:62.482841pt;width:12.1pt;height:16.2pt;mso-position-horizontal-relative:page;mso-position-vertical-relative:paragraph;z-index:1072" type="#_x0000_t202" filled="false" stroked="false">
            <v:textbox inset="0,0,0,0" style="layout-flow:vertical;mso-layout-flow-alt:bottom-to-top">
              <w:txbxContent>
                <w:p>
                  <w:pPr>
                    <w:spacing w:before="14"/>
                    <w:ind w:left="20" w:right="0" w:firstLine="0"/>
                    <w:jc w:val="left"/>
                    <w:rPr>
                      <w:rFonts w:ascii="Liberation Sans" w:hAnsi="Liberation Sans"/>
                      <w:sz w:val="18"/>
                    </w:rPr>
                  </w:pPr>
                  <w:r>
                    <w:rPr>
                      <w:rFonts w:ascii="Liberation Sans" w:hAnsi="Liberation Sans"/>
                      <w:sz w:val="18"/>
                    </w:rPr>
                    <w:t>Kâr</w:t>
                  </w:r>
                </w:p>
              </w:txbxContent>
            </v:textbox>
            <w10:wrap type="none"/>
          </v:shape>
        </w:pict>
      </w:r>
      <w:r>
        <w:rPr>
          <w:rFonts w:ascii="Liberation Sans"/>
          <w:sz w:val="20"/>
        </w:rPr>
        <w:t>10</w:t>
      </w: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spacing w:before="128"/>
        <w:ind w:left="0" w:right="277" w:firstLine="0"/>
        <w:jc w:val="center"/>
        <w:rPr>
          <w:rFonts w:ascii="Liberation Sans" w:hAnsi="Liberation Sans"/>
          <w:sz w:val="18"/>
        </w:rPr>
      </w:pPr>
      <w:r>
        <w:rPr>
          <w:rFonts w:ascii="Liberation Sans" w:hAnsi="Liberation Sans"/>
          <w:sz w:val="18"/>
        </w:rPr>
        <w:t>Varlığın Yeni Değeri</w:t>
      </w:r>
    </w:p>
    <w:p>
      <w:pPr>
        <w:pStyle w:val="BodyText"/>
        <w:spacing w:before="8"/>
        <w:rPr>
          <w:rFonts w:ascii="Liberation Sans"/>
          <w:sz w:val="22"/>
        </w:rPr>
      </w:pPr>
    </w:p>
    <w:p>
      <w:pPr>
        <w:spacing w:before="90"/>
        <w:ind w:left="656" w:right="0" w:firstLine="0"/>
        <w:jc w:val="left"/>
        <w:rPr>
          <w:i/>
          <w:sz w:val="24"/>
        </w:rPr>
      </w:pPr>
      <w:r>
        <w:rPr>
          <w:i/>
          <w:color w:val="000009"/>
          <w:sz w:val="24"/>
        </w:rPr>
        <w:t>Grafik 1: Long Call stratejisi (100$'dan satın alma opsiyonu 1$'a alındığında)</w:t>
      </w:r>
    </w:p>
    <w:p>
      <w:pPr>
        <w:pStyle w:val="BodyText"/>
        <w:spacing w:before="1"/>
        <w:rPr>
          <w:i/>
          <w:sz w:val="25"/>
        </w:rPr>
      </w:pPr>
    </w:p>
    <w:p>
      <w:pPr>
        <w:pStyle w:val="BodyText"/>
        <w:spacing w:line="360" w:lineRule="auto" w:before="90"/>
        <w:ind w:left="590" w:right="1419"/>
        <w:jc w:val="both"/>
      </w:pPr>
      <w:r>
        <w:rPr>
          <w:color w:val="000009"/>
        </w:rPr>
        <w:t>Örneğin bugün 100$ olan bir hisseden 100$ karşılığında 1 tane satın alınırsa, fiyatı 110$ olduğunda %10 kâr elde edilir, sabit kalırsa kâr veya zarar elde edilmez. Fakat 100$’dan satın alma hakkı 2$ ise, bu opsiyondan 100$ karşılığında 50 tane alınabilir. Fiyatı 110$ olduğunda 100$’dan alınıp 110$’a satılarak tanesinden 8$, 50 tanesinden 400$ yani %400 kâr elde edilebilir. Fakat fiyat artmadığında opsiyonlar bir işe yaramayacakları için yatırılan paranın tamamı kaybedilir.</w:t>
      </w:r>
    </w:p>
    <w:p>
      <w:pPr>
        <w:pStyle w:val="BodyText"/>
        <w:spacing w:before="10"/>
        <w:rPr>
          <w:sz w:val="20"/>
        </w:rPr>
      </w:pPr>
    </w:p>
    <w:p>
      <w:pPr>
        <w:pStyle w:val="BodyText"/>
        <w:spacing w:line="360" w:lineRule="auto"/>
        <w:ind w:left="590" w:right="1420"/>
        <w:jc w:val="both"/>
      </w:pPr>
      <w:r>
        <w:rPr>
          <w:color w:val="000009"/>
        </w:rPr>
        <w:t>Fiyat çok yükseldiğinde çok yüksek kâr, yeterince yükselmediğinde yüksek zarar ettirdiği için fiyatın kesinlikle çok yükseleceği durumlara uygun bir stratejidir.</w:t>
      </w:r>
    </w:p>
    <w:p>
      <w:pPr>
        <w:spacing w:after="0" w:line="360" w:lineRule="auto"/>
        <w:jc w:val="both"/>
        <w:sectPr>
          <w:pgSz w:w="11910" w:h="16840"/>
          <w:pgMar w:header="0" w:footer="1050" w:top="1580" w:bottom="1240" w:left="16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7"/>
        </w:rPr>
      </w:pPr>
    </w:p>
    <w:p>
      <w:pPr>
        <w:pStyle w:val="Heading2"/>
        <w:numPr>
          <w:ilvl w:val="2"/>
          <w:numId w:val="1"/>
        </w:numPr>
        <w:tabs>
          <w:tab w:pos="1698" w:val="left" w:leader="none"/>
        </w:tabs>
        <w:spacing w:line="240" w:lineRule="auto" w:before="90" w:after="0"/>
        <w:ind w:left="1698" w:right="0" w:hanging="540"/>
        <w:jc w:val="left"/>
      </w:pPr>
      <w:r>
        <w:rPr>
          <w:color w:val="000009"/>
        </w:rPr>
        <w:t>Bull</w:t>
      </w:r>
      <w:r>
        <w:rPr>
          <w:color w:val="000009"/>
          <w:spacing w:val="-2"/>
        </w:rPr>
        <w:t> </w:t>
      </w:r>
      <w:r>
        <w:rPr>
          <w:color w:val="000009"/>
        </w:rPr>
        <w:t>Spread</w:t>
      </w:r>
    </w:p>
    <w:p>
      <w:pPr>
        <w:pStyle w:val="BodyText"/>
        <w:spacing w:before="10"/>
        <w:rPr>
          <w:b/>
          <w:sz w:val="32"/>
        </w:rPr>
      </w:pPr>
    </w:p>
    <w:p>
      <w:pPr>
        <w:pStyle w:val="BodyText"/>
        <w:spacing w:line="360" w:lineRule="auto"/>
        <w:ind w:left="590" w:right="1418"/>
        <w:jc w:val="both"/>
      </w:pPr>
      <w:r>
        <w:rPr>
          <w:color w:val="000009"/>
        </w:rPr>
        <w:t>Bu stratejide fiyatı varlığın fiyatının altında bir satın alma opsiyonu satın alınırken, fiyatı varlığın fiyatının biraz üzerinde bir satın alma opsiyonu da satılır. Long Call’dan farklı olarak satılan ‘satın alma opsiyonu’ sayesinde kâr sınırlandırılırken fiyatın çok artmaması durumunda satılan opsiyon karşılığında alınan para kâr olarak kalmaktadır. Bu nedenle fiyatın çok artmayacağı durumda kullanılması uygundur.</w:t>
      </w:r>
    </w:p>
    <w:p>
      <w:pPr>
        <w:pStyle w:val="BodyText"/>
        <w:rPr>
          <w:sz w:val="20"/>
        </w:rPr>
      </w:pPr>
    </w:p>
    <w:p>
      <w:pPr>
        <w:spacing w:after="0"/>
        <w:rPr>
          <w:sz w:val="20"/>
        </w:rPr>
        <w:sectPr>
          <w:pgSz w:w="11910" w:h="16840"/>
          <w:pgMar w:header="0" w:footer="1050" w:top="320" w:bottom="1240" w:left="1680" w:right="0"/>
        </w:sectPr>
      </w:pPr>
    </w:p>
    <w:p>
      <w:pPr>
        <w:pStyle w:val="Heading1"/>
        <w:spacing w:before="231"/>
        <w:jc w:val="right"/>
      </w:pPr>
      <w:r>
        <w:rPr/>
        <w:t>Bull Spread</w:t>
      </w:r>
    </w:p>
    <w:p>
      <w:pPr>
        <w:spacing w:before="163"/>
        <w:ind w:left="1125" w:right="3873" w:firstLine="0"/>
        <w:jc w:val="center"/>
        <w:rPr>
          <w:rFonts w:ascii="Liberation Sans"/>
          <w:sz w:val="20"/>
        </w:rPr>
      </w:pPr>
      <w:r>
        <w:rPr/>
        <w:pict>
          <v:group style="position:absolute;margin-left:154.449997pt;margin-top:14.129887pt;width:239.5pt;height:143.85pt;mso-position-horizontal-relative:page;mso-position-vertical-relative:paragraph;z-index:-82072" coordorigin="3089,283" coordsize="4790,2877">
            <v:shape style="position:absolute;left:3089;top:282;width:4767;height:2877" coordorigin="3089,283" coordsize="4767,2877" path="m5515,3160l3175,3160,3175,283,7856,283,7856,3160,5515,3160xm3175,2285l3175,2200m3175,2285l3175,2200m3409,2285l3409,2200m3409,2285l3409,2200m3643,2285l3643,2200m3643,2285l3643,2200m3877,2285l3877,2200m3877,2285l3877,2200m4111,2285l4111,2200m4111,2285l4111,2200m4345,2285l4345,2200m4345,2285l4345,2200m4579,2285l4579,2200m4579,2285l4579,2200m4813,2285l4813,2200m4813,2285l4813,2200m5047,2285l5047,2200m5047,2285l5047,2200m5281,2285l5281,2200m5281,2285l5281,2200m5515,2285l5515,2200m5515,2285l5515,2200m5749,2285l5749,2200m5749,2285l5749,2200m5983,2285l5983,2200m5983,2285l5983,2200m6217,2285l6217,2200m6217,2285l6217,2200m6451,2285l6451,2200m6451,2285l6451,2200m6685,2285l6685,2200m6685,2285l6685,2200m6920,2285l6920,2200m6920,2285l6920,2200m7154,2285l7154,2200m7154,2285l7154,2200m7388,2285l7388,2200m7388,2285l7388,2200m7622,2285l7622,2200m7622,2285l7622,2200m7856,2285l7856,2200m7856,2285l7856,2200m3175,2200l7856,2200m3089,3159l3175,3159m3089,3159l3175,3159m3089,2840l3175,2840m3089,2840l3175,2840m3089,2520l3175,2520m3089,2520l3175,2520m3089,2200l3175,2200m3089,2200l3175,2200m3089,1881l3175,1881m3089,1881l3175,1881m3089,1561l3175,1561m3089,1561l3175,1561m3089,1241l3175,1241m3089,1241l3175,1241m3089,922l3175,922m3089,922l3175,922m3089,602l3175,602m3089,602l3175,602m3089,283l3175,283m3089,283l3175,283m3175,3159l3175,283e" filled="false" stroked="true" strokeweight="0pt" strokecolor="#b2b2b2">
              <v:path arrowok="t"/>
              <v:stroke dashstyle="solid"/>
            </v:shape>
            <v:shape style="position:absolute;left:3175;top:617;width:4681;height:2397" coordorigin="3175,618" coordsize="4681,2397" path="m3175,3015l3264,3015m3353,3015l3409,3015,3442,3015m3532,3015l3621,3015m3710,3015l3800,3015m3889,3015l3978,3015m4068,3015l4111,3015,4157,3015m4246,3015l4336,3015m4411,2970l4485,2920m4559,2869l4579,2856,4632,2819m4706,2769l4780,2718m4854,2668l4927,2618m5001,2567l5047,2536,5075,2517m5149,2467l5222,2416m5296,2366l5370,2315m5444,2265l5515,2216,5517,2215m5591,2164l5665,2114m5739,2064l5749,2056,5813,2013m5886,1963l5960,1912m6034,1862l6108,1812m6181,1761l6217,1737,6255,1711m6329,1661l6403,1610m6476,1560l6550,1510m6624,1459l6685,1417,6698,1409m6771,1358l6845,1308m6919,1258l6920,1257,6993,1207m7066,1157l7140,1107m7214,1056l7288,1006m7362,956l7388,938,7435,905m7509,855l7583,804m7657,754l7730,704m7804,654l7856,618e" filled="false" stroked="true" strokeweight="2.25pt" strokecolor="#004485">
              <v:path arrowok="t"/>
              <v:stroke dashstyle="solid"/>
            </v:shape>
            <v:shape style="position:absolute;left:3175;top:2198;width:4668;height:790" coordorigin="3175,2199" coordsize="4668,790" path="m3175,2199l3264,2199m3353,2199l3409,2199,3442,2199m3532,2199l3621,2199m3710,2199l3800,2199m3889,2199l3978,2199m4068,2199l4111,2199,4157,2199m4246,2199l4336,2199m4425,2199l4514,2199m4604,2199l4693,2199m4782,2199l4813,2199,4872,2199m4961,2199l5047,2199,5050,2199m5140,2199l5229,2199m5318,2199l5407,2199m5497,2199l5515,2199,5586,2199m5675,2199l5749,2199,5765,2199m5854,2199l5943,2199m6033,2199l6122,2199m6211,2199l6217,2199,6301,2199m6390,2199l6451,2199,6479,2199m6569,2199l6658,2199m6736,2234l6810,2284m6884,2334l6920,2359,6958,2385m7032,2435l7105,2485m7179,2536l7253,2586m7327,2636l7388,2678,7400,2687m7474,2737l7548,2788m7622,2838l7622,2838,7695,2888m7769,2938l7843,2989e" filled="false" stroked="true" strokeweight="2.25pt" strokecolor="#ff410d">
              <v:path arrowok="t"/>
              <v:stroke dashstyle="solid"/>
            </v:shape>
            <v:shape style="position:absolute;left:3175;top:1414;width:4681;height:1599" coordorigin="3175,1415" coordsize="4681,1599" path="m3175,3014l3175,3014,4345,3014,4579,2854,4813,2694,5047,2534,5281,2374,5515,2215,5749,2055,5983,1895,6217,1735,6451,1575,6685,1415,6920,1415,7154,1415,7388,1415,7622,1415,7856,1415e" filled="false" stroked="true" strokeweight="2.26696pt" strokecolor="#000000">
              <v:path arrowok="t"/>
              <v:stroke dashstyle="solid"/>
            </v:shape>
            <w10:wrap type="none"/>
          </v:group>
        </w:pict>
      </w:r>
      <w:r>
        <w:rPr>
          <w:rFonts w:ascii="Liberation Sans"/>
          <w:spacing w:val="-4"/>
          <w:sz w:val="20"/>
        </w:rPr>
        <w:t>12</w:t>
      </w:r>
    </w:p>
    <w:p>
      <w:pPr>
        <w:spacing w:before="90"/>
        <w:ind w:left="1125" w:right="3873" w:firstLine="0"/>
        <w:jc w:val="center"/>
        <w:rPr>
          <w:rFonts w:ascii="Liberation Sans"/>
          <w:sz w:val="20"/>
        </w:rPr>
      </w:pPr>
      <w:r>
        <w:rPr>
          <w:rFonts w:ascii="Liberation Sans"/>
          <w:spacing w:val="-4"/>
          <w:sz w:val="20"/>
        </w:rPr>
        <w:t>10</w:t>
      </w:r>
    </w:p>
    <w:p>
      <w:pPr>
        <w:spacing w:before="90"/>
        <w:ind w:left="0" w:right="2644" w:firstLine="0"/>
        <w:jc w:val="center"/>
        <w:rPr>
          <w:rFonts w:ascii="Liberation Sans"/>
          <w:sz w:val="20"/>
        </w:rPr>
      </w:pPr>
      <w:r>
        <w:rPr>
          <w:rFonts w:ascii="Liberation Sans"/>
          <w:sz w:val="20"/>
        </w:rPr>
        <w:t>8</w:t>
      </w:r>
    </w:p>
    <w:p>
      <w:pPr>
        <w:spacing w:before="90"/>
        <w:ind w:left="0" w:right="2644" w:firstLine="0"/>
        <w:jc w:val="center"/>
        <w:rPr>
          <w:rFonts w:ascii="Liberation Sans"/>
          <w:sz w:val="20"/>
        </w:rPr>
      </w:pPr>
      <w:r>
        <w:rPr>
          <w:rFonts w:ascii="Liberation Sans"/>
          <w:sz w:val="20"/>
        </w:rPr>
        <w:t>6</w:t>
      </w:r>
    </w:p>
    <w:p>
      <w:pPr>
        <w:spacing w:before="88"/>
        <w:ind w:left="0" w:right="2644" w:firstLine="0"/>
        <w:jc w:val="center"/>
        <w:rPr>
          <w:rFonts w:ascii="Liberation Sans"/>
          <w:sz w:val="20"/>
        </w:rPr>
      </w:pPr>
      <w:r>
        <w:rPr/>
        <w:pict>
          <v:shape style="position:absolute;margin-left:121.152542pt;margin-top:10.382822pt;width:12.1pt;height:16.2pt;mso-position-horizontal-relative:page;mso-position-vertical-relative:paragraph;z-index:1432" type="#_x0000_t202" filled="false" stroked="false">
            <v:textbox inset="0,0,0,0" style="layout-flow:vertical;mso-layout-flow-alt:bottom-to-top">
              <w:txbxContent>
                <w:p>
                  <w:pPr>
                    <w:spacing w:before="14"/>
                    <w:ind w:left="20" w:right="0" w:firstLine="0"/>
                    <w:jc w:val="left"/>
                    <w:rPr>
                      <w:rFonts w:ascii="Liberation Sans" w:hAnsi="Liberation Sans"/>
                      <w:sz w:val="18"/>
                    </w:rPr>
                  </w:pPr>
                  <w:r>
                    <w:rPr>
                      <w:rFonts w:ascii="Liberation Sans" w:hAnsi="Liberation Sans"/>
                      <w:sz w:val="18"/>
                    </w:rPr>
                    <w:t>Kâr</w:t>
                  </w:r>
                </w:p>
              </w:txbxContent>
            </v:textbox>
            <w10:wrap type="none"/>
          </v:shape>
        </w:pict>
      </w:r>
      <w:r>
        <w:rPr>
          <w:rFonts w:ascii="Liberation Sans"/>
          <w:sz w:val="20"/>
        </w:rPr>
        <w:t>4</w:t>
      </w:r>
    </w:p>
    <w:p>
      <w:pPr>
        <w:spacing w:before="90"/>
        <w:ind w:left="0" w:right="2644" w:firstLine="0"/>
        <w:jc w:val="center"/>
        <w:rPr>
          <w:rFonts w:ascii="Liberation Sans"/>
          <w:sz w:val="20"/>
        </w:rPr>
      </w:pPr>
      <w:r>
        <w:rPr>
          <w:rFonts w:ascii="Liberation Sans"/>
          <w:sz w:val="20"/>
        </w:rPr>
        <w:t>2</w:t>
      </w:r>
    </w:p>
    <w:p>
      <w:pPr>
        <w:spacing w:before="90"/>
        <w:ind w:left="0" w:right="2644" w:firstLine="0"/>
        <w:jc w:val="center"/>
        <w:rPr>
          <w:rFonts w:ascii="Liberation Sans"/>
          <w:sz w:val="20"/>
        </w:rPr>
      </w:pPr>
      <w:r>
        <w:rPr>
          <w:rFonts w:ascii="Liberation Sans"/>
          <w:sz w:val="20"/>
        </w:rPr>
        <w:t>0</w:t>
      </w:r>
    </w:p>
    <w:p>
      <w:pPr>
        <w:spacing w:before="90"/>
        <w:ind w:left="1188" w:right="0" w:firstLine="0"/>
        <w:jc w:val="left"/>
        <w:rPr>
          <w:rFonts w:ascii="Liberation Sans"/>
          <w:sz w:val="20"/>
        </w:rPr>
      </w:pPr>
      <w:r>
        <w:rPr/>
        <w:pict>
          <v:shape style="position:absolute;margin-left:149.609222pt;margin-top:4.161447pt;width:10.85pt;height:10pt;mso-position-horizontal-relative:page;mso-position-vertical-relative:paragraph;z-index:-81712;rotation:316" type="#_x0000_t136" fillcolor="#000000" stroked="f">
            <o:extrusion v:ext="view" autorotationcenter="t"/>
            <v:textpath style="font-family:&amp;quot;Liberation Sans&amp;quot;;font-size:10pt;v-text-kern:t;mso-text-shadow:auto" string="90"/>
            <w10:wrap type="none"/>
          </v:shape>
        </w:pict>
      </w:r>
      <w:r>
        <w:rPr/>
        <w:pict>
          <v:shape style="position:absolute;margin-left:173.009216pt;margin-top:4.161446pt;width:10.85pt;height:10pt;mso-position-horizontal-relative:page;mso-position-vertical-relative:paragraph;z-index:1480;rotation:316" type="#_x0000_t136" fillcolor="#000000" stroked="f">
            <o:extrusion v:ext="view" autorotationcenter="t"/>
            <v:textpath style="font-family:&amp;quot;Liberation Sans&amp;quot;;font-size:10pt;v-text-kern:t;mso-text-shadow:auto" string="92"/>
            <w10:wrap type="none"/>
          </v:shape>
        </w:pict>
      </w:r>
      <w:r>
        <w:rPr/>
        <w:pict>
          <v:shape style="position:absolute;margin-left:196.409225pt;margin-top:4.161445pt;width:10.85pt;height:10pt;mso-position-horizontal-relative:page;mso-position-vertical-relative:paragraph;z-index:1504;rotation:316" type="#_x0000_t136" fillcolor="#000000" stroked="f">
            <o:extrusion v:ext="view" autorotationcenter="t"/>
            <v:textpath style="font-family:&amp;quot;Liberation Sans&amp;quot;;font-size:10pt;v-text-kern:t;mso-text-shadow:auto" string="94"/>
            <w10:wrap type="none"/>
          </v:shape>
        </w:pict>
      </w:r>
      <w:r>
        <w:rPr/>
        <w:pict>
          <v:shape style="position:absolute;margin-left:219.788528pt;margin-top:4.111445pt;width:11pt;height:10pt;mso-position-horizontal-relative:page;mso-position-vertical-relative:paragraph;z-index:1528;rotation:316" type="#_x0000_t136" fillcolor="#000000" stroked="f">
            <o:extrusion v:ext="view" autorotationcenter="t"/>
            <v:textpath style="font-family:&amp;quot;Liberation Sans&amp;quot;;font-size:10pt;v-text-kern:t;mso-text-shadow:auto" string="96"/>
            <w10:wrap type="none"/>
          </v:shape>
        </w:pict>
      </w:r>
      <w:r>
        <w:rPr/>
        <w:pict>
          <v:shape style="position:absolute;margin-left:243.188522pt;margin-top:4.111445pt;width:11pt;height:10pt;mso-position-horizontal-relative:page;mso-position-vertical-relative:paragraph;z-index:1552;rotation:316" type="#_x0000_t136" fillcolor="#000000" stroked="f">
            <o:extrusion v:ext="view" autorotationcenter="t"/>
            <v:textpath style="font-family:&amp;quot;Liberation Sans&amp;quot;;font-size:10pt;v-text-kern:t;mso-text-shadow:auto" string="98"/>
            <w10:wrap type="none"/>
          </v:shape>
        </w:pict>
      </w:r>
      <w:r>
        <w:rPr/>
        <w:pict>
          <v:shape style="position:absolute;margin-left:262.12262pt;margin-top:5.961446pt;width:16.2pt;height:10pt;mso-position-horizontal-relative:page;mso-position-vertical-relative:paragraph;z-index:1576;rotation:316" type="#_x0000_t136" fillcolor="#000000" stroked="f">
            <o:extrusion v:ext="view" autorotationcenter="t"/>
            <v:textpath style="font-family:&amp;quot;Liberation Sans&amp;quot;;font-size:10pt;v-text-kern:t;mso-text-shadow:auto" string="100"/>
            <w10:wrap type="none"/>
          </v:shape>
        </w:pict>
      </w:r>
      <w:r>
        <w:rPr/>
        <w:pict>
          <v:shape style="position:absolute;margin-left:285.522614pt;margin-top:5.961445pt;width:16.2pt;height:10pt;mso-position-horizontal-relative:page;mso-position-vertical-relative:paragraph;z-index:1600;rotation:316" type="#_x0000_t136" fillcolor="#000000" stroked="f">
            <o:extrusion v:ext="view" autorotationcenter="t"/>
            <v:textpath style="font-family:&amp;quot;Liberation Sans&amp;quot;;font-size:10pt;v-text-kern:t;mso-text-shadow:auto" string="102"/>
            <w10:wrap type="none"/>
          </v:shape>
        </w:pict>
      </w:r>
      <w:r>
        <w:rPr/>
        <w:pict>
          <v:shape style="position:absolute;margin-left:308.922638pt;margin-top:5.961444pt;width:16.2pt;height:10pt;mso-position-horizontal-relative:page;mso-position-vertical-relative:paragraph;z-index:1624;rotation:316" type="#_x0000_t136" fillcolor="#000000" stroked="f">
            <o:extrusion v:ext="view" autorotationcenter="t"/>
            <v:textpath style="font-family:&amp;quot;Liberation Sans&amp;quot;;font-size:10pt;v-text-kern:t;mso-text-shadow:auto" string="104"/>
            <w10:wrap type="none"/>
          </v:shape>
        </w:pict>
      </w:r>
      <w:r>
        <w:rPr/>
        <w:pict>
          <v:shape style="position:absolute;margin-left:332.322632pt;margin-top:5.961444pt;width:16.2pt;height:10pt;mso-position-horizontal-relative:page;mso-position-vertical-relative:paragraph;z-index:1648;rotation:316" type="#_x0000_t136" fillcolor="#000000" stroked="f">
            <o:extrusion v:ext="view" autorotationcenter="t"/>
            <v:textpath style="font-family:&amp;quot;Liberation Sans&amp;quot;;font-size:10pt;v-text-kern:t;mso-text-shadow:auto" string="106"/>
            <w10:wrap type="none"/>
          </v:shape>
        </w:pict>
      </w:r>
      <w:r>
        <w:rPr>
          <w:rFonts w:ascii="Liberation Sans"/>
          <w:spacing w:val="-4"/>
          <w:sz w:val="20"/>
        </w:rPr>
        <w:t>-2</w:t>
      </w:r>
    </w:p>
    <w:p>
      <w:pPr>
        <w:spacing w:before="90"/>
        <w:ind w:left="1188" w:right="0" w:firstLine="0"/>
        <w:jc w:val="left"/>
        <w:rPr>
          <w:rFonts w:ascii="Liberation Sans"/>
          <w:sz w:val="20"/>
        </w:rPr>
      </w:pPr>
      <w:r>
        <w:rPr>
          <w:rFonts w:ascii="Liberation Sans"/>
          <w:spacing w:val="-4"/>
          <w:sz w:val="20"/>
        </w:rPr>
        <w:t>-4</w:t>
      </w:r>
    </w:p>
    <w:p>
      <w:pPr>
        <w:spacing w:before="90"/>
        <w:ind w:left="1188" w:right="0" w:firstLine="0"/>
        <w:jc w:val="left"/>
        <w:rPr>
          <w:rFonts w:ascii="Liberation Sans"/>
          <w:sz w:val="20"/>
        </w:rPr>
      </w:pPr>
      <w:r>
        <w:rPr>
          <w:rFonts w:ascii="Liberation Sans"/>
          <w:spacing w:val="-4"/>
          <w:sz w:val="20"/>
        </w:rPr>
        <w:t>-6</w:t>
      </w:r>
    </w:p>
    <w:p>
      <w:pPr>
        <w:spacing w:before="141"/>
        <w:ind w:left="2920" w:right="0" w:firstLine="0"/>
        <w:jc w:val="left"/>
        <w:rPr>
          <w:rFonts w:ascii="Liberation Sans" w:hAnsi="Liberation Sans"/>
          <w:sz w:val="18"/>
        </w:rPr>
      </w:pPr>
      <w:r>
        <w:rPr>
          <w:rFonts w:ascii="Liberation Sans" w:hAnsi="Liberation Sans"/>
          <w:sz w:val="18"/>
        </w:rPr>
        <w:t>Varlığın Yeni Değeri</w:t>
      </w:r>
    </w:p>
    <w:p>
      <w:pPr>
        <w:pStyle w:val="BodyText"/>
        <w:rPr>
          <w:rFonts w:ascii="Liberation Sans"/>
          <w:sz w:val="22"/>
        </w:rPr>
      </w:pPr>
      <w:r>
        <w:rPr/>
        <w:br w:type="column"/>
      </w:r>
      <w:r>
        <w:rPr>
          <w:rFonts w:ascii="Liberation Sans"/>
          <w:sz w:val="22"/>
        </w:rPr>
      </w: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spacing w:before="6"/>
        <w:rPr>
          <w:rFonts w:ascii="Liberation Sans"/>
          <w:sz w:val="26"/>
        </w:rPr>
      </w:pPr>
    </w:p>
    <w:p>
      <w:pPr>
        <w:spacing w:line="295" w:lineRule="auto" w:before="0"/>
        <w:ind w:left="1143" w:right="1009" w:firstLine="0"/>
        <w:jc w:val="left"/>
        <w:rPr>
          <w:rFonts w:ascii="Liberation Sans"/>
          <w:sz w:val="20"/>
        </w:rPr>
      </w:pPr>
      <w:r>
        <w:rPr/>
        <w:pict>
          <v:shape style="position:absolute;margin-left:355.722626pt;margin-top:56.861439pt;width:16.2pt;height:10pt;mso-position-horizontal-relative:page;mso-position-vertical-relative:paragraph;z-index:1672;rotation:316" type="#_x0000_t136" fillcolor="#000000" stroked="f">
            <o:extrusion v:ext="view" autorotationcenter="t"/>
            <v:textpath style="font-family:&amp;quot;Liberation Sans&amp;quot;;font-size:10pt;v-text-kern:t;mso-text-shadow:auto" string="108"/>
            <w10:wrap type="none"/>
          </v:shape>
        </w:pict>
      </w:r>
      <w:r>
        <w:rPr/>
        <w:pict>
          <v:shape style="position:absolute;margin-left:379.222626pt;margin-top:56.861431pt;width:16.2pt;height:10pt;mso-position-horizontal-relative:page;mso-position-vertical-relative:paragraph;z-index:1696;rotation:316" type="#_x0000_t136" fillcolor="#000000" stroked="f">
            <o:extrusion v:ext="view" autorotationcenter="t"/>
            <v:textpath style="font-family:&amp;quot;Liberation Sans&amp;quot;;font-size:10pt;v-text-kern:t;mso-text-shadow:auto" string="110"/>
            <w10:wrap type="none"/>
          </v:shape>
        </w:pict>
      </w:r>
      <w:r>
        <w:rPr>
          <w:rFonts w:ascii="Liberation Sans"/>
          <w:sz w:val="20"/>
        </w:rPr>
        <w:t>call_95_l call_105_s bull_spread</w:t>
      </w:r>
    </w:p>
    <w:p>
      <w:pPr>
        <w:spacing w:after="0" w:line="295" w:lineRule="auto"/>
        <w:jc w:val="left"/>
        <w:rPr>
          <w:rFonts w:ascii="Liberation Sans"/>
          <w:sz w:val="20"/>
        </w:rPr>
        <w:sectPr>
          <w:type w:val="continuous"/>
          <w:pgSz w:w="11910" w:h="16840"/>
          <w:pgMar w:top="1580" w:bottom="280" w:left="1680" w:right="0"/>
          <w:cols w:num="2" w:equalWidth="0">
            <w:col w:w="5254" w:space="1098"/>
            <w:col w:w="3878"/>
          </w:cols>
        </w:sectPr>
      </w:pPr>
    </w:p>
    <w:p>
      <w:pPr>
        <w:pStyle w:val="BodyText"/>
        <w:spacing w:before="9"/>
        <w:rPr>
          <w:rFonts w:ascii="Liberation Sans"/>
          <w:sz w:val="22"/>
        </w:rPr>
      </w:pPr>
      <w:r>
        <w:rPr/>
        <w:pict>
          <v:line style="position:absolute;mso-position-horizontal-relative:page;mso-position-vertical-relative:page;z-index:1120" from="410.549988pt,327.699982pt" to="414.999988pt,327.699982pt" stroked="true" strokeweight="2.25pt" strokecolor="#004485">
            <v:stroke dashstyle="solid"/>
            <w10:wrap type="none"/>
          </v:line>
        </w:pict>
      </w:r>
      <w:r>
        <w:rPr/>
        <w:pict>
          <v:line style="position:absolute;mso-position-horizontal-relative:page;mso-position-vertical-relative:page;z-index:1144" from="419.5pt,327.699982pt" to="423.95pt,327.699982pt" stroked="true" strokeweight="2.25pt" strokecolor="#004485">
            <v:stroke dashstyle="solid"/>
            <w10:wrap type="none"/>
          </v:line>
        </w:pict>
      </w:r>
      <w:r>
        <w:rPr/>
        <w:pict>
          <v:line style="position:absolute;mso-position-horizontal-relative:page;mso-position-vertical-relative:page;z-index:1168" from="428.399994pt,327.699982pt" to="432.899994pt,327.699982pt" stroked="true" strokeweight="2.25pt" strokecolor="#004485">
            <v:stroke dashstyle="solid"/>
            <w10:wrap type="none"/>
          </v:line>
        </w:pict>
      </w:r>
      <w:r>
        <w:rPr/>
        <w:pict>
          <v:line style="position:absolute;mso-position-horizontal-relative:page;mso-position-vertical-relative:page;z-index:1192" from="437.350006pt,327.699982pt" to="441.800006pt,327.699982pt" stroked="true" strokeweight="2.25pt" strokecolor="#004485">
            <v:stroke dashstyle="solid"/>
            <w10:wrap type="none"/>
          </v:line>
        </w:pict>
      </w:r>
      <w:r>
        <w:rPr/>
        <w:pict>
          <v:line style="position:absolute;mso-position-horizontal-relative:page;mso-position-vertical-relative:page;z-index:1216" from="446.299988pt,327.699982pt" to="450.749988pt,327.699982pt" stroked="true" strokeweight="2.25pt" strokecolor="#004485">
            <v:stroke dashstyle="solid"/>
            <w10:wrap type="none"/>
          </v:line>
        </w:pict>
      </w:r>
      <w:r>
        <w:rPr/>
        <w:pict>
          <v:line style="position:absolute;mso-position-horizontal-relative:page;mso-position-vertical-relative:page;z-index:1240" from="455.550012pt,326.574982pt" to="455.550012pt,328.824982pt" stroked="true" strokeweight=".7pt" strokecolor="#004485">
            <v:stroke dashstyle="solid"/>
            <w10:wrap type="none"/>
          </v:line>
        </w:pict>
      </w:r>
      <w:r>
        <w:rPr/>
        <w:pict>
          <v:line style="position:absolute;mso-position-horizontal-relative:page;mso-position-vertical-relative:page;z-index:1264" from="410.549988pt,341.799988pt" to="414.999988pt,341.799988pt" stroked="true" strokeweight="2.25pt" strokecolor="#ff410d">
            <v:stroke dashstyle="solid"/>
            <w10:wrap type="none"/>
          </v:line>
        </w:pict>
      </w:r>
      <w:r>
        <w:rPr/>
        <w:pict>
          <v:line style="position:absolute;mso-position-horizontal-relative:page;mso-position-vertical-relative:page;z-index:1288" from="419.5pt,341.799988pt" to="423.95pt,341.799988pt" stroked="true" strokeweight="2.25pt" strokecolor="#ff410d">
            <v:stroke dashstyle="solid"/>
            <w10:wrap type="none"/>
          </v:line>
        </w:pict>
      </w:r>
      <w:r>
        <w:rPr/>
        <w:pict>
          <v:line style="position:absolute;mso-position-horizontal-relative:page;mso-position-vertical-relative:page;z-index:1312" from="428.399994pt,341.799988pt" to="432.899994pt,341.799988pt" stroked="true" strokeweight="2.25pt" strokecolor="#ff410d">
            <v:stroke dashstyle="solid"/>
            <w10:wrap type="none"/>
          </v:line>
        </w:pict>
      </w:r>
      <w:r>
        <w:rPr/>
        <w:pict>
          <v:line style="position:absolute;mso-position-horizontal-relative:page;mso-position-vertical-relative:page;z-index:1336" from="437.350006pt,341.799988pt" to="441.800006pt,341.799988pt" stroked="true" strokeweight="2.25pt" strokecolor="#ff410d">
            <v:stroke dashstyle="solid"/>
            <w10:wrap type="none"/>
          </v:line>
        </w:pict>
      </w:r>
      <w:r>
        <w:rPr/>
        <w:pict>
          <v:line style="position:absolute;mso-position-horizontal-relative:page;mso-position-vertical-relative:page;z-index:1360" from="446.299988pt,341.799988pt" to="450.749988pt,341.799988pt" stroked="true" strokeweight="2.25pt" strokecolor="#ff410d">
            <v:stroke dashstyle="solid"/>
            <w10:wrap type="none"/>
          </v:line>
        </w:pict>
      </w:r>
      <w:r>
        <w:rPr/>
        <w:pict>
          <v:line style="position:absolute;mso-position-horizontal-relative:page;mso-position-vertical-relative:page;z-index:1384" from="455.550012pt,340.674988pt" to="455.550012pt,342.924988pt" stroked="true" strokeweight=".7pt" strokecolor="#ff410d">
            <v:stroke dashstyle="solid"/>
            <w10:wrap type="none"/>
          </v:line>
        </w:pict>
      </w:r>
    </w:p>
    <w:p>
      <w:pPr>
        <w:spacing w:before="90"/>
        <w:ind w:left="451" w:right="998" w:firstLine="0"/>
        <w:jc w:val="left"/>
        <w:rPr>
          <w:i/>
          <w:sz w:val="24"/>
        </w:rPr>
      </w:pPr>
      <w:r>
        <w:rPr/>
        <w:pict>
          <v:line style="position:absolute;mso-position-horizontal-relative:page;mso-position-vertical-relative:paragraph;z-index:1408" from="410.549988pt,-95.146881pt" to="455.899988pt,-95.146881pt" stroked="true" strokeweight="2.26696pt" strokecolor="#000000">
            <v:stroke dashstyle="solid"/>
            <w10:wrap type="none"/>
          </v:line>
        </w:pict>
      </w:r>
      <w:r>
        <w:rPr>
          <w:i/>
          <w:color w:val="000009"/>
          <w:sz w:val="24"/>
        </w:rPr>
        <w:t>Grafik 2: Bull Spread Stratejisi (95$'dan satın alma hakkı 5.1$'a alınıp 105$'dan satın </w:t>
      </w:r>
      <w:r>
        <w:rPr>
          <w:i/>
          <w:color w:val="000009"/>
          <w:sz w:val="24"/>
        </w:rPr>
        <w:t>alma hakkı 0.1$'a satıldığında)</w:t>
      </w:r>
    </w:p>
    <w:p>
      <w:pPr>
        <w:spacing w:after="0"/>
        <w:jc w:val="left"/>
        <w:rPr>
          <w:sz w:val="24"/>
        </w:rPr>
        <w:sectPr>
          <w:type w:val="continuous"/>
          <w:pgSz w:w="11910" w:h="16840"/>
          <w:pgMar w:top="1580" w:bottom="280" w:left="1680" w:right="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
        <w:rPr>
          <w:i/>
          <w:sz w:val="22"/>
        </w:rPr>
      </w:pPr>
    </w:p>
    <w:p>
      <w:pPr>
        <w:pStyle w:val="Heading2"/>
        <w:numPr>
          <w:ilvl w:val="2"/>
          <w:numId w:val="1"/>
        </w:numPr>
        <w:tabs>
          <w:tab w:pos="1698" w:val="left" w:leader="none"/>
        </w:tabs>
        <w:spacing w:line="240" w:lineRule="auto" w:before="0" w:after="0"/>
        <w:ind w:left="1698" w:right="0" w:hanging="540"/>
        <w:jc w:val="left"/>
      </w:pPr>
      <w:r>
        <w:rPr>
          <w:color w:val="000009"/>
        </w:rPr>
        <w:t>Butterfly</w:t>
      </w:r>
    </w:p>
    <w:p>
      <w:pPr>
        <w:pStyle w:val="BodyText"/>
        <w:spacing w:before="10"/>
        <w:rPr>
          <w:b/>
          <w:sz w:val="32"/>
        </w:rPr>
      </w:pPr>
    </w:p>
    <w:p>
      <w:pPr>
        <w:pStyle w:val="BodyText"/>
        <w:spacing w:line="360" w:lineRule="auto"/>
        <w:ind w:left="590" w:right="1415"/>
        <w:jc w:val="both"/>
      </w:pPr>
      <w:r>
        <w:rPr>
          <w:color w:val="000009"/>
        </w:rPr>
        <w:t>Fiyat değişmediğinde (veya az değiştiğinde) kâr getiren bu stratejide ise varlığın fiyatına en yakın fiyatlı satın alma opsiyonundan 2 adet satılır. Fiyatı biraz aşağıda ve yukarıda birer satın alma opsiyonu ise satın alınır.</w:t>
      </w:r>
    </w:p>
    <w:p>
      <w:pPr>
        <w:pStyle w:val="BodyText"/>
        <w:rPr>
          <w:sz w:val="20"/>
        </w:rPr>
      </w:pPr>
    </w:p>
    <w:p>
      <w:pPr>
        <w:pStyle w:val="BodyText"/>
        <w:spacing w:before="1"/>
        <w:rPr>
          <w:sz w:val="22"/>
        </w:rPr>
      </w:pPr>
    </w:p>
    <w:p>
      <w:pPr>
        <w:pStyle w:val="Heading1"/>
        <w:ind w:right="864"/>
      </w:pPr>
      <w:r>
        <w:rPr/>
        <w:t>Butterfly</w:t>
      </w:r>
    </w:p>
    <w:p>
      <w:pPr>
        <w:spacing w:before="184"/>
        <w:ind w:left="1408" w:right="0" w:firstLine="0"/>
        <w:jc w:val="left"/>
        <w:rPr>
          <w:rFonts w:ascii="Liberation Sans"/>
          <w:sz w:val="20"/>
        </w:rPr>
      </w:pPr>
      <w:r>
        <w:rPr/>
        <w:pict>
          <v:group style="position:absolute;margin-left:167.75pt;margin-top:15.179898pt;width:220.2pt;height:188.8pt;mso-position-horizontal-relative:page;mso-position-vertical-relative:paragraph;z-index:1720" coordorigin="3355,304" coordsize="4404,3776">
            <v:shape style="position:absolute;left:3355;top:303;width:4381;height:3776" coordorigin="3355,304" coordsize="4381,3776" path="m5588,4080l3440,4080,3440,305,7736,305,7736,4080,5588,4080xm3440,2007l3440,1922m3440,2007l3440,1922m3654,2007l3654,1922m3654,2007l3654,1922m3869,2007l3869,1922m3869,2007l3869,1922m4084,2007l4084,1922m4084,2007l4084,1922m4299,2007l4299,1922m4299,2007l4299,1922m4514,2007l4514,1922m4514,2007l4514,1922m4728,2007l4728,1922m4728,2007l4728,1922m4943,2007l4943,1922m4943,2007l4943,1922m5158,2007l5158,1922m5158,2007l5158,1922m5373,2007l5373,1922m5373,2007l5373,1922m5588,2007l5588,1922m5588,2007l5588,1922m5802,2007l5802,1922m5802,2007l5802,1922m6017,2007l6017,1922m6017,2007l6017,1922m6232,2007l6232,1922m6232,2007l6232,1922m6447,2007l6447,1922m6447,2007l6447,1922m6662,2007l6662,1922m6662,2007l6662,1922m6876,2007l6876,1922m6876,2007l6876,1922m7091,2007l7091,1922m7091,2007l7091,1922m7306,2007l7306,1922m7306,2007l7306,1922m7521,2007l7521,1922m7521,2007l7521,1922m7736,2007l7736,1922m7736,2007l7736,1922m3440,1922l7736,1922m3355,4079l3440,4079m3355,4079l3440,4079m3355,3539l3440,3539m3355,3539l3440,3539m3355,3000l3440,3000m3355,3000l3440,3000m3355,2461l3440,2461m3355,2461l3440,2461m3355,1922l3440,1922m3355,1922l3440,1922m3355,1382l3440,1382m3355,1382l3440,1382m3355,843l3440,843m3355,843l3440,843m3355,304l3440,304m3355,304l3440,304m3440,4079l3440,304e" filled="false" stroked="true" strokeweight="0pt" strokecolor="#b2b2b2">
              <v:path arrowok="t"/>
              <v:stroke dashstyle="solid"/>
            </v:shape>
            <v:shape style="position:absolute;left:3440;top:971;width:4253;height:1273" coordorigin="3440,972" coordsize="4253,1273" path="m3440,2245l3529,2245m3618,2245l3654,2245,3708,2245m3797,2245l3869,2245,3886,2245m3976,2245l4065,2245m4154,2245l4244,2245m4333,2245l4422,2245m4512,2245l4514,2245,4601,2245m4690,2245l4728,2245,4779,2245m4869,2245l4943,2245,4958,2245m5047,2245l5137,2245m5219,2215l5299,2175m5378,2134l5458,2094m5538,2054l5588,2029,5618,2014m5698,1974l5778,1934m5857,1894l5937,1854m6017,1814l6017,1814,6097,1774m6177,1734l6232,1706,6256,1694m6336,1654l6416,1614m6496,1574l6576,1533m6656,1493l6662,1490,6735,1453m6815,1413l6876,1382,6895,1373m6975,1333l7055,1293m7135,1253l7214,1213m7294,1173l7306,1167,7374,1133m7454,1092l7521,1059,7534,1052m7613,1012l7693,972e" filled="false" stroked="true" strokeweight="2.25pt" strokecolor="#004485">
              <v:path arrowok="t"/>
              <v:stroke dashstyle="solid"/>
            </v:shape>
            <v:shape style="position:absolute;left:3440;top:1813;width:4284;height:1072" coordorigin="3440,1814" coordsize="4284,1072" path="m3440,1814l3469,1814m3497,1814l3526,1814m3555,1814l3584,1814m3613,1814l3642,1814m3671,1814l3700,1814m3729,1814l3758,1814m3787,1814l3815,1814m3844,1814l3869,1814,3873,1814m3902,1814l3931,1814m3960,1814l3989,1814m4018,1814l4047,1814m4076,1814l4084,1814,4104,1814m4133,1814l4162,1814m4191,1814l4220,1814m4249,1814l4278,1814m4307,1814l4336,1814m4365,1814l4394,1814m4422,1814l4451,1814m4480,1814l4509,1814m4538,1814l4567,1814m4596,1814l4625,1814m4654,1814l4683,1814m4711,1814l4728,1814,4740,1814m4769,1814l4798,1814m4827,1814l4856,1814m4885,1814l4914,1814m4943,1814l4943,1814,4972,1814m5001,1814l5029,1814m5058,1814l5087,1814m5116,1814l5145,1814m5174,1814l5203,1814m5232,1814l5261,1814m5290,1814l5318,1814m5347,1814l5373,1814,5376,1814m5405,1814l5434,1814m5463,1814l5492,1814m5521,1814l5550,1814m5579,1814l5588,1814,5605,1822m5631,1835l5657,1848m5683,1861l5709,1874m5734,1888l5760,1901m5786,1914l5802,1922,5812,1927m5838,1939l5864,1952m5889,1965l5915,1978m5941,1991l5967,2004m5993,2017l6017,2029,6019,2030m6044,2043l6070,2056m6096,2069l6122,2082m6148,2095l6174,2108m6200,2121l6225,2134m6251,2147l6277,2160m6303,2173l6329,2186m6354,2199l6380,2212m6406,2225l6432,2238m6458,2251l6484,2264m6509,2277l6535,2290m6561,2303l6587,2316m6613,2329l6639,2341m6664,2354l6690,2367m6716,2380l6742,2393m6768,2406l6794,2419m6819,2432l6845,2445m6871,2458l6876,2461,6897,2471m6923,2484l6949,2497m6974,2510l7000,2523m7026,2536l7052,2549m7078,2562l7091,2569,7103,2575m7129,2588l7155,2601m7181,2614l7207,2627m7233,2640l7258,2653m7284,2666l7306,2677,7310,2679m7336,2692l7362,2705m7388,2718l7414,2731m7439,2744l7465,2756m7491,2769l7517,2782m7543,2795l7569,2808m7594,2821l7620,2834m7646,2847l7672,2860m7698,2873l7724,2886e" filled="false" stroked="true" strokeweight="2.25pt" strokecolor="#ff410d">
              <v:path arrowok="t"/>
              <v:stroke dashstyle="solid"/>
            </v:shape>
            <v:shape style="position:absolute;left:3440;top:1705;width:4296;height:2157" coordorigin="3440,1706" coordsize="4296,2157" path="m3440,1706l3529,1706m3618,1706l3654,1706,3708,1706m3797,1706l3869,1706,3886,1706m3976,1706l4065,1706m4154,1706l4244,1706m4333,1706l4422,1706m4512,1706l4514,1706,4601,1706m4690,1706l4728,1706,4779,1706m4869,1706l4943,1706,4958,1706m5047,1706l5137,1706m5226,1706l5315,1706m5405,1706l5494,1706m5583,1706l5588,1706,5648,1766m5711,1829l5774,1893m5837,1956l5900,2019m5963,2083l6017,2137,6026,2146m6089,2209l6152,2272m6215,2336l6232,2353,6278,2399m6341,2462l6404,2526m6467,2589l6530,2652m6593,2716l6656,2779m6719,2842l6782,2905m6845,2969l6876,3000,6908,3032m6971,3095l7034,3159m7097,3222l7160,3285m7223,3348l7286,3412m7349,3475l7412,3538m7476,3602l7521,3647,7539,3665m7602,3728l7665,3791m7728,3855l7736,3863e" filled="false" stroked="true" strokeweight="2.25pt" strokecolor="#ee403c">
              <v:path arrowok="t"/>
              <v:stroke dashstyle="solid"/>
            </v:shape>
            <v:shape style="position:absolute;left:3440;top:1059;width:4296;height:863" coordorigin="3440,1060" coordsize="4296,863" path="m3440,1923l3529,1923m3618,1923l3654,1923,3708,1923m3797,1923l3869,1923,3886,1923m3976,1923l4065,1923m4154,1923l4244,1923m4333,1923l4422,1923m4512,1923l4514,1923,4601,1923m4690,1923l4728,1923,4779,1923m4869,1923l4943,1923,4958,1923m5047,1923l5137,1923m5226,1923l5315,1923m5405,1923l5494,1923m5583,1923l5588,1923,5673,1923m5762,1923l5802,1923,5851,1923m5941,1923l6017,1923,6029,1917m6108,1877l6188,1837m6268,1797l6348,1757m6428,1717l6447,1707,6508,1677m6587,1637l6662,1599,6667,1597m6747,1556l6827,1516m6907,1476l6986,1436m7066,1396l7091,1383,7146,1356m7226,1316l7306,1276m7386,1236l7465,1196m7545,1156l7625,1115m7705,1075l7736,1060e" filled="false" stroked="true" strokeweight="2.25pt" strokecolor="#ffd21f">
              <v:path arrowok="t"/>
              <v:stroke dashstyle="solid"/>
            </v:shape>
            <v:shape style="position:absolute;left:3440;top:1814;width:4296;height:216" coordorigin="3440,1815" coordsize="4296,216" path="m3440,2031l3440,2031,5158,2031,5373,1923,5588,1815,5802,1923,6017,2031,7521,2031,7736,2031e" filled="false" stroked="true" strokeweight="2.26702pt" strokecolor="#000000">
              <v:path arrowok="t"/>
              <v:stroke dashstyle="solid"/>
            </v:shape>
            <w10:wrap type="none"/>
          </v:group>
        </w:pict>
      </w:r>
      <w:r>
        <w:rPr>
          <w:rFonts w:ascii="Liberation Sans"/>
          <w:spacing w:val="-3"/>
          <w:sz w:val="20"/>
        </w:rPr>
        <w:t>15</w:t>
      </w:r>
    </w:p>
    <w:p>
      <w:pPr>
        <w:pStyle w:val="BodyText"/>
        <w:spacing w:before="9"/>
        <w:rPr>
          <w:rFonts w:ascii="Liberation Sans"/>
          <w:sz w:val="18"/>
        </w:rPr>
      </w:pPr>
    </w:p>
    <w:p>
      <w:pPr>
        <w:spacing w:before="94"/>
        <w:ind w:left="1408" w:right="0" w:firstLine="0"/>
        <w:jc w:val="left"/>
        <w:rPr>
          <w:rFonts w:ascii="Liberation Sans"/>
          <w:sz w:val="20"/>
        </w:rPr>
      </w:pPr>
      <w:r>
        <w:rPr/>
        <w:pict>
          <v:line style="position:absolute;mso-position-horizontal-relative:page;mso-position-vertical-relative:paragraph;z-index:1744" from="402.200012pt,48.079899pt" to="406.650012pt,48.079899pt" stroked="true" strokeweight="2.25pt" strokecolor="#004485">
            <v:stroke dashstyle="solid"/>
            <w10:wrap type="none"/>
          </v:line>
        </w:pict>
      </w:r>
      <w:r>
        <w:rPr/>
        <w:pict>
          <v:line style="position:absolute;mso-position-horizontal-relative:page;mso-position-vertical-relative:paragraph;z-index:1768" from="411.149994pt,48.079899pt" to="415.599994pt,48.079899pt" stroked="true" strokeweight="2.25pt" strokecolor="#004485">
            <v:stroke dashstyle="solid"/>
            <w10:wrap type="none"/>
          </v:line>
        </w:pict>
      </w:r>
      <w:r>
        <w:rPr/>
        <w:pict>
          <v:line style="position:absolute;mso-position-horizontal-relative:page;mso-position-vertical-relative:paragraph;z-index:1792" from="420.049988pt,48.079899pt" to="424.549988pt,48.079899pt" stroked="true" strokeweight="2.25pt" strokecolor="#004485">
            <v:stroke dashstyle="solid"/>
            <w10:wrap type="none"/>
          </v:line>
        </w:pict>
      </w:r>
      <w:r>
        <w:rPr/>
        <w:pict>
          <v:line style="position:absolute;mso-position-horizontal-relative:page;mso-position-vertical-relative:paragraph;z-index:1816" from="429pt,48.079899pt" to="433.45pt,48.079899pt" stroked="true" strokeweight="2.25pt" strokecolor="#004485">
            <v:stroke dashstyle="solid"/>
            <w10:wrap type="none"/>
          </v:line>
        </w:pict>
      </w:r>
      <w:r>
        <w:rPr/>
        <w:pict>
          <v:line style="position:absolute;mso-position-horizontal-relative:page;mso-position-vertical-relative:paragraph;z-index:1840" from="437.950012pt,48.079899pt" to="442.400012pt,48.079899pt" stroked="true" strokeweight="2.25pt" strokecolor="#004485">
            <v:stroke dashstyle="solid"/>
            <w10:wrap type="none"/>
          </v:line>
        </w:pict>
      </w:r>
      <w:r>
        <w:rPr/>
        <w:pict>
          <v:line style="position:absolute;mso-position-horizontal-relative:page;mso-position-vertical-relative:paragraph;z-index:1864" from="447.200006pt,46.954899pt" to="447.200006pt,49.204899pt" stroked="true" strokeweight=".7pt" strokecolor="#004485">
            <v:stroke dashstyle="solid"/>
            <w10:wrap type="none"/>
          </v:line>
        </w:pict>
      </w:r>
      <w:r>
        <w:rPr/>
        <w:pict>
          <v:shape style="position:absolute;margin-left:402.200012pt;margin-top:62.179897pt;width:44.8pt;height:.1pt;mso-position-horizontal-relative:page;mso-position-vertical-relative:paragraph;z-index:1888" coordorigin="8044,1244" coordsize="896,0" path="m8044,1244l8073,1244m8102,1244l8131,1244m8160,1244l8189,1244m8217,1244l8246,1244m8275,1244l8304,1244m8333,1244l8362,1244m8391,1244l8420,1244m8449,1244l8478,1244m8506,1244l8535,1244m8564,1244l8593,1244m8622,1244l8651,1244m8680,1244l8709,1244m8738,1244l8767,1244m8796,1244l8824,1244m8853,1244l8882,1244m8911,1244l8940,1244e" filled="false" stroked="true" strokeweight="2.25pt" strokecolor="#ff410d">
            <v:path arrowok="t"/>
            <v:stroke dashstyle="solid"/>
            <w10:wrap type="none"/>
          </v:shape>
        </w:pict>
      </w:r>
      <w:r>
        <w:rPr/>
        <w:pict>
          <v:line style="position:absolute;mso-position-horizontal-relative:page;mso-position-vertical-relative:paragraph;z-index:1912" from="402.200012pt,76.2799pt" to="406.650012pt,76.2799pt" stroked="true" strokeweight="2.25pt" strokecolor="#ee403c">
            <v:stroke dashstyle="solid"/>
            <w10:wrap type="none"/>
          </v:line>
        </w:pict>
      </w:r>
      <w:r>
        <w:rPr/>
        <w:pict>
          <v:line style="position:absolute;mso-position-horizontal-relative:page;mso-position-vertical-relative:paragraph;z-index:1936" from="411.149994pt,76.2799pt" to="415.599994pt,76.2799pt" stroked="true" strokeweight="2.25pt" strokecolor="#ee403c">
            <v:stroke dashstyle="solid"/>
            <w10:wrap type="none"/>
          </v:line>
        </w:pict>
      </w:r>
      <w:r>
        <w:rPr/>
        <w:pict>
          <v:line style="position:absolute;mso-position-horizontal-relative:page;mso-position-vertical-relative:paragraph;z-index:1960" from="420.049988pt,76.2799pt" to="424.549988pt,76.2799pt" stroked="true" strokeweight="2.25pt" strokecolor="#ee403c">
            <v:stroke dashstyle="solid"/>
            <w10:wrap type="none"/>
          </v:line>
        </w:pict>
      </w:r>
      <w:r>
        <w:rPr/>
        <w:pict>
          <v:line style="position:absolute;mso-position-horizontal-relative:page;mso-position-vertical-relative:paragraph;z-index:1984" from="429pt,76.2799pt" to="433.45pt,76.2799pt" stroked="true" strokeweight="2.25pt" strokecolor="#ee403c">
            <v:stroke dashstyle="solid"/>
            <w10:wrap type="none"/>
          </v:line>
        </w:pict>
      </w:r>
      <w:r>
        <w:rPr/>
        <w:pict>
          <v:line style="position:absolute;mso-position-horizontal-relative:page;mso-position-vertical-relative:paragraph;z-index:2008" from="437.950012pt,76.2799pt" to="442.400012pt,76.2799pt" stroked="true" strokeweight="2.25pt" strokecolor="#ee403c">
            <v:stroke dashstyle="solid"/>
            <w10:wrap type="none"/>
          </v:line>
        </w:pict>
      </w:r>
      <w:r>
        <w:rPr/>
        <w:pict>
          <v:line style="position:absolute;mso-position-horizontal-relative:page;mso-position-vertical-relative:paragraph;z-index:2032" from="447.200006pt,75.1549pt" to="447.200006pt,77.4049pt" stroked="true" strokeweight=".7pt" strokecolor="#ee403c">
            <v:stroke dashstyle="solid"/>
            <w10:wrap type="none"/>
          </v:line>
        </w:pict>
      </w:r>
      <w:r>
        <w:rPr>
          <w:rFonts w:ascii="Liberation Sans"/>
          <w:spacing w:val="-3"/>
          <w:sz w:val="20"/>
        </w:rPr>
        <w:t>10</w:t>
      </w:r>
    </w:p>
    <w:p>
      <w:pPr>
        <w:pStyle w:val="BodyText"/>
        <w:spacing w:before="9"/>
        <w:rPr>
          <w:rFonts w:ascii="Liberation Sans"/>
          <w:sz w:val="18"/>
        </w:rPr>
      </w:pPr>
    </w:p>
    <w:p>
      <w:pPr>
        <w:spacing w:after="0"/>
        <w:rPr>
          <w:rFonts w:ascii="Liberation Sans"/>
          <w:sz w:val="18"/>
        </w:rPr>
        <w:sectPr>
          <w:pgSz w:w="11910" w:h="16840"/>
          <w:pgMar w:header="0" w:footer="1050" w:top="0" w:bottom="1240" w:left="1680" w:right="0"/>
        </w:sectPr>
      </w:pPr>
    </w:p>
    <w:p>
      <w:pPr>
        <w:spacing w:before="94"/>
        <w:ind w:left="0" w:right="38" w:firstLine="0"/>
        <w:jc w:val="right"/>
        <w:rPr>
          <w:rFonts w:ascii="Liberation Sans"/>
          <w:sz w:val="20"/>
        </w:rPr>
      </w:pPr>
      <w:r>
        <w:rPr>
          <w:rFonts w:ascii="Liberation Sans"/>
          <w:sz w:val="20"/>
        </w:rPr>
        <w:t>5</w:t>
      </w:r>
    </w:p>
    <w:p>
      <w:pPr>
        <w:pStyle w:val="BodyText"/>
        <w:spacing w:before="9"/>
        <w:rPr>
          <w:rFonts w:ascii="Liberation Sans"/>
          <w:sz w:val="26"/>
        </w:rPr>
      </w:pPr>
    </w:p>
    <w:p>
      <w:pPr>
        <w:spacing w:before="0"/>
        <w:ind w:left="0" w:right="38" w:firstLine="0"/>
        <w:jc w:val="right"/>
        <w:rPr>
          <w:rFonts w:ascii="Liberation Sans"/>
          <w:sz w:val="20"/>
        </w:rPr>
      </w:pPr>
      <w:r>
        <w:rPr/>
        <w:pict>
          <v:shape style="position:absolute;margin-left:129.252533pt;margin-top:11.482803pt;width:12.1pt;height:16.2pt;mso-position-horizontal-relative:page;mso-position-vertical-relative:paragraph;z-index:2224" type="#_x0000_t202" filled="false" stroked="false">
            <v:textbox inset="0,0,0,0" style="layout-flow:vertical;mso-layout-flow-alt:bottom-to-top">
              <w:txbxContent>
                <w:p>
                  <w:pPr>
                    <w:spacing w:before="14"/>
                    <w:ind w:left="20" w:right="0" w:firstLine="0"/>
                    <w:jc w:val="left"/>
                    <w:rPr>
                      <w:rFonts w:ascii="Liberation Sans" w:hAnsi="Liberation Sans"/>
                      <w:sz w:val="18"/>
                    </w:rPr>
                  </w:pPr>
                  <w:r>
                    <w:rPr>
                      <w:rFonts w:ascii="Liberation Sans" w:hAnsi="Liberation Sans"/>
                      <w:sz w:val="18"/>
                    </w:rPr>
                    <w:t>Kâr</w:t>
                  </w:r>
                </w:p>
              </w:txbxContent>
            </v:textbox>
            <w10:wrap type="none"/>
          </v:shape>
        </w:pict>
      </w:r>
      <w:r>
        <w:rPr/>
        <w:pict>
          <v:shape style="position:absolute;margin-left:162.867874pt;margin-top:15.612226pt;width:10.8pt;height:10pt;mso-position-horizontal-relative:page;mso-position-vertical-relative:paragraph;z-index:2248;rotation:315" type="#_x0000_t136" fillcolor="#000000" stroked="f">
            <o:extrusion v:ext="view" autorotationcenter="t"/>
            <v:textpath style="font-family:&amp;quot;Liberation Sans&amp;quot;;font-size:10pt;v-text-kern:t;mso-text-shadow:auto" string="90"/>
            <w10:wrap type="none"/>
          </v:shape>
        </w:pict>
      </w:r>
      <w:r>
        <w:rPr/>
        <w:pict>
          <v:shape style="position:absolute;margin-left:184.367874pt;margin-top:15.612226pt;width:10.8pt;height:10pt;mso-position-horizontal-relative:page;mso-position-vertical-relative:paragraph;z-index:2272;rotation:315" type="#_x0000_t136" fillcolor="#000000" stroked="f">
            <o:extrusion v:ext="view" autorotationcenter="t"/>
            <v:textpath style="font-family:&amp;quot;Liberation Sans&amp;quot;;font-size:10pt;v-text-kern:t;mso-text-shadow:auto" string="92"/>
            <w10:wrap type="none"/>
          </v:shape>
        </w:pict>
      </w:r>
      <w:r>
        <w:rPr/>
        <w:pict>
          <v:shape style="position:absolute;margin-left:205.867874pt;margin-top:15.612226pt;width:10.8pt;height:10pt;mso-position-horizontal-relative:page;mso-position-vertical-relative:paragraph;z-index:2296;rotation:315" type="#_x0000_t136" fillcolor="#000000" stroked="f">
            <o:extrusion v:ext="view" autorotationcenter="t"/>
            <v:textpath style="font-family:&amp;quot;Liberation Sans&amp;quot;;font-size:10pt;v-text-kern:t;mso-text-shadow:auto" string="94"/>
            <w10:wrap type="none"/>
          </v:shape>
        </w:pict>
      </w:r>
      <w:r>
        <w:rPr>
          <w:rFonts w:ascii="Liberation Sans"/>
          <w:sz w:val="20"/>
        </w:rPr>
        <w:t>0</w:t>
      </w:r>
    </w:p>
    <w:p>
      <w:pPr>
        <w:pStyle w:val="BodyText"/>
        <w:spacing w:before="11"/>
        <w:rPr>
          <w:rFonts w:ascii="Liberation Sans"/>
          <w:sz w:val="26"/>
        </w:rPr>
      </w:pPr>
    </w:p>
    <w:p>
      <w:pPr>
        <w:spacing w:before="0"/>
        <w:ind w:left="0" w:right="38" w:firstLine="0"/>
        <w:jc w:val="right"/>
        <w:rPr>
          <w:rFonts w:ascii="Liberation Sans"/>
          <w:sz w:val="20"/>
        </w:rPr>
      </w:pPr>
      <w:r>
        <w:rPr>
          <w:rFonts w:ascii="Liberation Sans"/>
          <w:spacing w:val="-4"/>
          <w:sz w:val="20"/>
        </w:rPr>
        <w:t>-5</w:t>
      </w:r>
    </w:p>
    <w:p>
      <w:pPr>
        <w:pStyle w:val="BodyText"/>
        <w:spacing w:before="11"/>
        <w:rPr>
          <w:rFonts w:ascii="Liberation Sans"/>
          <w:sz w:val="26"/>
        </w:rPr>
      </w:pPr>
    </w:p>
    <w:p>
      <w:pPr>
        <w:spacing w:before="0"/>
        <w:ind w:left="0" w:right="38" w:firstLine="0"/>
        <w:jc w:val="right"/>
        <w:rPr>
          <w:rFonts w:ascii="Liberation Sans"/>
          <w:sz w:val="20"/>
        </w:rPr>
      </w:pPr>
      <w:r>
        <w:rPr>
          <w:rFonts w:ascii="Liberation Sans"/>
          <w:spacing w:val="-5"/>
          <w:sz w:val="20"/>
        </w:rPr>
        <w:t>-10</w:t>
      </w:r>
    </w:p>
    <w:p>
      <w:pPr>
        <w:pStyle w:val="BodyText"/>
        <w:spacing w:before="3"/>
        <w:rPr>
          <w:rFonts w:ascii="Liberation Sans"/>
          <w:sz w:val="26"/>
        </w:rPr>
      </w:pPr>
      <w:r>
        <w:rPr/>
        <w:br w:type="column"/>
      </w:r>
      <w:r>
        <w:rPr>
          <w:rFonts w:ascii="Liberation Sans"/>
          <w:sz w:val="26"/>
        </w:rPr>
      </w:r>
    </w:p>
    <w:p>
      <w:pPr>
        <w:spacing w:line="295" w:lineRule="auto" w:before="0"/>
        <w:ind w:left="1347" w:right="1310" w:firstLine="0"/>
        <w:jc w:val="left"/>
        <w:rPr>
          <w:rFonts w:ascii="Liberation Sans"/>
          <w:sz w:val="20"/>
        </w:rPr>
      </w:pPr>
      <w:r>
        <w:rPr>
          <w:rFonts w:ascii="Liberation Sans"/>
          <w:sz w:val="20"/>
        </w:rPr>
        <w:t>call_98_l call_100_s call_100_s_x2 call_102_l butterfly</w:t>
      </w:r>
    </w:p>
    <w:p>
      <w:pPr>
        <w:spacing w:after="0" w:line="295" w:lineRule="auto"/>
        <w:jc w:val="left"/>
        <w:rPr>
          <w:rFonts w:ascii="Liberation Sans"/>
          <w:sz w:val="20"/>
        </w:rPr>
        <w:sectPr>
          <w:type w:val="continuous"/>
          <w:pgSz w:w="11910" w:h="16840"/>
          <w:pgMar w:top="1580" w:bottom="280" w:left="1680" w:right="0"/>
          <w:cols w:num="2" w:equalWidth="0">
            <w:col w:w="1666" w:space="4314"/>
            <w:col w:w="4250"/>
          </w:cols>
        </w:sectPr>
      </w:pPr>
    </w:p>
    <w:p>
      <w:pPr>
        <w:pStyle w:val="BodyText"/>
        <w:spacing w:before="7"/>
        <w:rPr>
          <w:rFonts w:ascii="Liberation Sans"/>
          <w:sz w:val="18"/>
        </w:rPr>
      </w:pPr>
    </w:p>
    <w:p>
      <w:pPr>
        <w:spacing w:before="94"/>
        <w:ind w:left="1348" w:right="0" w:firstLine="0"/>
        <w:jc w:val="left"/>
        <w:rPr>
          <w:rFonts w:ascii="Liberation Sans"/>
          <w:sz w:val="20"/>
        </w:rPr>
      </w:pPr>
      <w:r>
        <w:rPr/>
        <w:pict>
          <v:line style="position:absolute;mso-position-horizontal-relative:page;mso-position-vertical-relative:paragraph;z-index:2056" from="402.200012pt,-44.370121pt" to="406.650012pt,-44.370121pt" stroked="true" strokeweight="2.25pt" strokecolor="#ffd21f">
            <v:stroke dashstyle="solid"/>
            <w10:wrap type="none"/>
          </v:line>
        </w:pict>
      </w:r>
      <w:r>
        <w:rPr/>
        <w:pict>
          <v:line style="position:absolute;mso-position-horizontal-relative:page;mso-position-vertical-relative:paragraph;z-index:2080" from="411.149994pt,-44.370121pt" to="415.599994pt,-44.370121pt" stroked="true" strokeweight="2.25pt" strokecolor="#ffd21f">
            <v:stroke dashstyle="solid"/>
            <w10:wrap type="none"/>
          </v:line>
        </w:pict>
      </w:r>
      <w:r>
        <w:rPr/>
        <w:pict>
          <v:line style="position:absolute;mso-position-horizontal-relative:page;mso-position-vertical-relative:paragraph;z-index:2104" from="420.049988pt,-44.370121pt" to="424.549988pt,-44.370121pt" stroked="true" strokeweight="2.25pt" strokecolor="#ffd21f">
            <v:stroke dashstyle="solid"/>
            <w10:wrap type="none"/>
          </v:line>
        </w:pict>
      </w:r>
      <w:r>
        <w:rPr/>
        <w:pict>
          <v:line style="position:absolute;mso-position-horizontal-relative:page;mso-position-vertical-relative:paragraph;z-index:2128" from="429pt,-44.370121pt" to="433.45pt,-44.370121pt" stroked="true" strokeweight="2.25pt" strokecolor="#ffd21f">
            <v:stroke dashstyle="solid"/>
            <w10:wrap type="none"/>
          </v:line>
        </w:pict>
      </w:r>
      <w:r>
        <w:rPr/>
        <w:pict>
          <v:line style="position:absolute;mso-position-horizontal-relative:page;mso-position-vertical-relative:paragraph;z-index:2152" from="437.950012pt,-44.370121pt" to="442.400012pt,-44.370121pt" stroked="true" strokeweight="2.25pt" strokecolor="#ffd21f">
            <v:stroke dashstyle="solid"/>
            <w10:wrap type="none"/>
          </v:line>
        </w:pict>
      </w:r>
      <w:r>
        <w:rPr/>
        <w:pict>
          <v:line style="position:absolute;mso-position-horizontal-relative:page;mso-position-vertical-relative:paragraph;z-index:2176" from="447.200006pt,-45.495121pt" to="447.200006pt,-43.245121pt" stroked="true" strokeweight=".7pt" strokecolor="#ffd21f">
            <v:stroke dashstyle="solid"/>
            <w10:wrap type="none"/>
          </v:line>
        </w:pict>
      </w:r>
      <w:r>
        <w:rPr/>
        <w:pict>
          <v:line style="position:absolute;mso-position-horizontal-relative:page;mso-position-vertical-relative:paragraph;z-index:2200" from="402.200012pt,-30.270121pt" to="447.550012pt,-30.270121pt" stroked="true" strokeweight="2.26702pt" strokecolor="#000000">
            <v:stroke dashstyle="solid"/>
            <w10:wrap type="none"/>
          </v:line>
        </w:pict>
      </w:r>
      <w:r>
        <w:rPr/>
        <w:pict>
          <v:shape style="position:absolute;margin-left:227.388596pt;margin-top:-60.537769pt;width:10.7pt;height:10pt;mso-position-horizontal-relative:page;mso-position-vertical-relative:paragraph;z-index:2320;rotation:315" type="#_x0000_t136" fillcolor="#000000" stroked="f">
            <o:extrusion v:ext="view" autorotationcenter="t"/>
            <v:textpath style="font-family:&amp;quot;Liberation Sans&amp;quot;;font-size:10pt;v-text-kern:t;mso-text-shadow:auto" string="96"/>
            <w10:wrap type="none"/>
          </v:shape>
        </w:pict>
      </w:r>
      <w:r>
        <w:rPr/>
        <w:pict>
          <v:shape style="position:absolute;margin-left:248.888596pt;margin-top:-60.537769pt;width:10.7pt;height:10pt;mso-position-horizontal-relative:page;mso-position-vertical-relative:paragraph;z-index:2344;rotation:315" type="#_x0000_t136" fillcolor="#000000" stroked="f">
            <o:extrusion v:ext="view" autorotationcenter="t"/>
            <v:textpath style="font-family:&amp;quot;Liberation Sans&amp;quot;;font-size:10pt;v-text-kern:t;mso-text-shadow:auto" string="98"/>
            <w10:wrap type="none"/>
          </v:shape>
        </w:pict>
      </w:r>
      <w:r>
        <w:rPr/>
        <w:pict>
          <v:shape style="position:absolute;margin-left:265.801575pt;margin-top:-58.737766pt;width:16.05pt;height:10pt;mso-position-horizontal-relative:page;mso-position-vertical-relative:paragraph;z-index:2368;rotation:315" type="#_x0000_t136" fillcolor="#000000" stroked="f">
            <o:extrusion v:ext="view" autorotationcenter="t"/>
            <v:textpath style="font-family:&amp;quot;Liberation Sans&amp;quot;;font-size:10pt;v-text-kern:t;mso-text-shadow:auto" string="100"/>
            <w10:wrap type="none"/>
          </v:shape>
        </w:pict>
      </w:r>
      <w:r>
        <w:rPr/>
        <w:pict>
          <v:shape style="position:absolute;margin-left:287.301575pt;margin-top:-58.737766pt;width:16.05pt;height:10pt;mso-position-horizontal-relative:page;mso-position-vertical-relative:paragraph;z-index:2392;rotation:315" type="#_x0000_t136" fillcolor="#000000" stroked="f">
            <o:extrusion v:ext="view" autorotationcenter="t"/>
            <v:textpath style="font-family:&amp;quot;Liberation Sans&amp;quot;;font-size:10pt;v-text-kern:t;mso-text-shadow:auto" string="102"/>
            <w10:wrap type="none"/>
          </v:shape>
        </w:pict>
      </w:r>
      <w:r>
        <w:rPr/>
        <w:pict>
          <v:shape style="position:absolute;margin-left:308.801575pt;margin-top:-58.737766pt;width:16.05pt;height:10pt;mso-position-horizontal-relative:page;mso-position-vertical-relative:paragraph;z-index:2416;rotation:315" type="#_x0000_t136" fillcolor="#000000" stroked="f">
            <o:extrusion v:ext="view" autorotationcenter="t"/>
            <v:textpath style="font-family:&amp;quot;Liberation Sans&amp;quot;;font-size:10pt;v-text-kern:t;mso-text-shadow:auto" string="104"/>
            <w10:wrap type="none"/>
          </v:shape>
        </w:pict>
      </w:r>
      <w:r>
        <w:rPr/>
        <w:pict>
          <v:shape style="position:absolute;margin-left:330.301605pt;margin-top:-58.737766pt;width:16.05pt;height:10pt;mso-position-horizontal-relative:page;mso-position-vertical-relative:paragraph;z-index:2440;rotation:315" type="#_x0000_t136" fillcolor="#000000" stroked="f">
            <o:extrusion v:ext="view" autorotationcenter="t"/>
            <v:textpath style="font-family:&amp;quot;Liberation Sans&amp;quot;;font-size:10pt;v-text-kern:t;mso-text-shadow:auto" string="106"/>
            <w10:wrap type="none"/>
          </v:shape>
        </w:pict>
      </w:r>
      <w:r>
        <w:rPr/>
        <w:pict>
          <v:shape style="position:absolute;margin-left:351.801605pt;margin-top:-58.737766pt;width:16.05pt;height:10pt;mso-position-horizontal-relative:page;mso-position-vertical-relative:paragraph;z-index:2464;rotation:315" type="#_x0000_t136" fillcolor="#000000" stroked="f">
            <o:extrusion v:ext="view" autorotationcenter="t"/>
            <v:textpath style="font-family:&amp;quot;Liberation Sans&amp;quot;;font-size:10pt;v-text-kern:t;mso-text-shadow:auto" string="108"/>
            <w10:wrap type="none"/>
          </v:shape>
        </w:pict>
      </w:r>
      <w:r>
        <w:rPr/>
        <w:pict>
          <v:shape style="position:absolute;margin-left:373.201599pt;margin-top:-58.737766pt;width:16.05pt;height:10pt;mso-position-horizontal-relative:page;mso-position-vertical-relative:paragraph;z-index:2488;rotation:315" type="#_x0000_t136" fillcolor="#000000" stroked="f">
            <o:extrusion v:ext="view" autorotationcenter="t"/>
            <v:textpath style="font-family:&amp;quot;Liberation Sans&amp;quot;;font-size:10pt;v-text-kern:t;mso-text-shadow:auto" string="110"/>
            <w10:wrap type="none"/>
          </v:shape>
        </w:pict>
      </w:r>
      <w:r>
        <w:rPr>
          <w:rFonts w:ascii="Liberation Sans"/>
          <w:sz w:val="20"/>
        </w:rPr>
        <w:t>-15</w:t>
      </w:r>
    </w:p>
    <w:p>
      <w:pPr>
        <w:pStyle w:val="BodyText"/>
        <w:spacing w:before="9"/>
        <w:rPr>
          <w:rFonts w:ascii="Liberation Sans"/>
          <w:sz w:val="18"/>
        </w:rPr>
      </w:pPr>
    </w:p>
    <w:p>
      <w:pPr>
        <w:spacing w:after="0"/>
        <w:rPr>
          <w:rFonts w:ascii="Liberation Sans"/>
          <w:sz w:val="18"/>
        </w:rPr>
        <w:sectPr>
          <w:type w:val="continuous"/>
          <w:pgSz w:w="11910" w:h="16840"/>
          <w:pgMar w:top="1580" w:bottom="280" w:left="1680" w:right="0"/>
        </w:sectPr>
      </w:pPr>
    </w:p>
    <w:p>
      <w:pPr>
        <w:spacing w:before="94"/>
        <w:ind w:left="0" w:right="0" w:firstLine="0"/>
        <w:jc w:val="right"/>
        <w:rPr>
          <w:rFonts w:ascii="Liberation Sans"/>
          <w:sz w:val="20"/>
        </w:rPr>
      </w:pPr>
      <w:r>
        <w:rPr>
          <w:rFonts w:ascii="Liberation Sans"/>
          <w:sz w:val="20"/>
        </w:rPr>
        <w:t>-20</w:t>
      </w:r>
    </w:p>
    <w:p>
      <w:pPr>
        <w:pStyle w:val="BodyText"/>
        <w:rPr>
          <w:rFonts w:ascii="Liberation Sans"/>
          <w:sz w:val="20"/>
        </w:rPr>
      </w:pPr>
      <w:r>
        <w:rPr/>
        <w:br w:type="column"/>
      </w:r>
      <w:r>
        <w:rPr>
          <w:rFonts w:ascii="Liberation Sans"/>
          <w:sz w:val="20"/>
        </w:rPr>
      </w:r>
    </w:p>
    <w:p>
      <w:pPr>
        <w:pStyle w:val="BodyText"/>
        <w:spacing w:before="2"/>
        <w:rPr>
          <w:rFonts w:ascii="Liberation Sans"/>
          <w:sz w:val="22"/>
        </w:rPr>
      </w:pPr>
    </w:p>
    <w:p>
      <w:pPr>
        <w:spacing w:before="0"/>
        <w:ind w:left="1252" w:right="0" w:firstLine="0"/>
        <w:jc w:val="left"/>
        <w:rPr>
          <w:rFonts w:ascii="Liberation Sans" w:hAnsi="Liberation Sans"/>
          <w:sz w:val="18"/>
        </w:rPr>
      </w:pPr>
      <w:r>
        <w:rPr>
          <w:rFonts w:ascii="Liberation Sans" w:hAnsi="Liberation Sans"/>
          <w:sz w:val="18"/>
        </w:rPr>
        <w:t>Varlığın Yeni Değeri</w:t>
      </w:r>
    </w:p>
    <w:p>
      <w:pPr>
        <w:spacing w:after="0"/>
        <w:jc w:val="left"/>
        <w:rPr>
          <w:rFonts w:ascii="Liberation Sans" w:hAnsi="Liberation Sans"/>
          <w:sz w:val="18"/>
        </w:rPr>
        <w:sectPr>
          <w:type w:val="continuous"/>
          <w:pgSz w:w="11910" w:h="16840"/>
          <w:pgMar w:top="1580" w:bottom="280" w:left="1680" w:right="0"/>
          <w:cols w:num="2" w:equalWidth="0">
            <w:col w:w="1626" w:space="40"/>
            <w:col w:w="8564"/>
          </w:cols>
        </w:sectPr>
      </w:pPr>
    </w:p>
    <w:p>
      <w:pPr>
        <w:pStyle w:val="BodyText"/>
        <w:spacing w:before="9"/>
        <w:rPr>
          <w:rFonts w:ascii="Liberation Sans"/>
          <w:sz w:val="22"/>
        </w:rPr>
      </w:pPr>
    </w:p>
    <w:p>
      <w:pPr>
        <w:spacing w:before="90"/>
        <w:ind w:left="614" w:right="1608" w:firstLine="0"/>
        <w:jc w:val="left"/>
        <w:rPr>
          <w:i/>
          <w:sz w:val="24"/>
        </w:rPr>
      </w:pPr>
      <w:r>
        <w:rPr>
          <w:i/>
          <w:color w:val="000009"/>
          <w:sz w:val="24"/>
        </w:rPr>
        <w:t>Grafik 3: Butterfly Stratejisi (98$'dan satın alma opsiyonu 3$'a, 102$'dan satın </w:t>
      </w:r>
      <w:r>
        <w:rPr>
          <w:i/>
          <w:color w:val="000009"/>
          <w:sz w:val="24"/>
        </w:rPr>
        <w:t>alma opsiyonu 0.01$'a satın alınırken 100$'dan satın alma hakkı 1$'a satıldığında)</w:t>
      </w:r>
    </w:p>
    <w:p>
      <w:pPr>
        <w:spacing w:after="0"/>
        <w:jc w:val="left"/>
        <w:rPr>
          <w:sz w:val="24"/>
        </w:rPr>
        <w:sectPr>
          <w:type w:val="continuous"/>
          <w:pgSz w:w="11910" w:h="16840"/>
          <w:pgMar w:top="1580" w:bottom="280" w:left="1680" w:right="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29"/>
        </w:rPr>
      </w:pPr>
    </w:p>
    <w:p>
      <w:pPr>
        <w:pStyle w:val="Heading2"/>
        <w:numPr>
          <w:ilvl w:val="2"/>
          <w:numId w:val="1"/>
        </w:numPr>
        <w:tabs>
          <w:tab w:pos="1698" w:val="left" w:leader="none"/>
        </w:tabs>
        <w:spacing w:line="240" w:lineRule="auto" w:before="90" w:after="0"/>
        <w:ind w:left="1698" w:right="0" w:hanging="540"/>
        <w:jc w:val="left"/>
      </w:pPr>
      <w:r>
        <w:rPr>
          <w:color w:val="000009"/>
        </w:rPr>
        <w:t>Bear</w:t>
      </w:r>
      <w:r>
        <w:rPr>
          <w:color w:val="000009"/>
          <w:spacing w:val="-6"/>
        </w:rPr>
        <w:t> </w:t>
      </w:r>
      <w:r>
        <w:rPr>
          <w:color w:val="000009"/>
        </w:rPr>
        <w:t>Spread</w:t>
      </w:r>
    </w:p>
    <w:p>
      <w:pPr>
        <w:pStyle w:val="BodyText"/>
        <w:spacing w:before="10"/>
        <w:rPr>
          <w:b/>
          <w:sz w:val="32"/>
        </w:rPr>
      </w:pPr>
    </w:p>
    <w:p>
      <w:pPr>
        <w:pStyle w:val="BodyText"/>
        <w:spacing w:line="360" w:lineRule="auto"/>
        <w:ind w:left="590" w:right="1417"/>
        <w:jc w:val="both"/>
      </w:pPr>
      <w:r>
        <w:rPr>
          <w:color w:val="000009"/>
        </w:rPr>
        <w:t>Bull Spread stratejisinin tersi olarak düşünülebilecek bu stratejide fiyatı varlığın fiyatından düşük bir satma hakkı satılırken fiyatı varlığın fiyatından yüksek bir satma hakkı da satın alınır.</w:t>
      </w:r>
    </w:p>
    <w:p>
      <w:pPr>
        <w:pStyle w:val="BodyText"/>
        <w:rPr>
          <w:sz w:val="20"/>
        </w:rPr>
      </w:pPr>
    </w:p>
    <w:p>
      <w:pPr>
        <w:spacing w:after="0"/>
        <w:rPr>
          <w:sz w:val="20"/>
        </w:rPr>
        <w:sectPr>
          <w:pgSz w:w="11910" w:h="16840"/>
          <w:pgMar w:header="0" w:footer="1050" w:top="60" w:bottom="1240" w:left="1680" w:right="0"/>
        </w:sectPr>
      </w:pPr>
    </w:p>
    <w:p>
      <w:pPr>
        <w:pStyle w:val="Heading1"/>
        <w:spacing w:before="247"/>
        <w:jc w:val="right"/>
      </w:pPr>
      <w:r>
        <w:rPr/>
        <w:t>Bear Spread</w:t>
      </w:r>
    </w:p>
    <w:p>
      <w:pPr>
        <w:spacing w:before="139"/>
        <w:ind w:left="1263" w:right="3927" w:firstLine="0"/>
        <w:jc w:val="center"/>
        <w:rPr>
          <w:rFonts w:ascii="Liberation Sans"/>
          <w:sz w:val="20"/>
        </w:rPr>
      </w:pPr>
      <w:r>
        <w:rPr/>
        <w:pict>
          <v:group style="position:absolute;margin-left:161.399994pt;margin-top:12.879874pt;width:235.75pt;height:170.65pt;mso-position-horizontal-relative:page;mso-position-vertical-relative:paragraph;z-index:-80656" coordorigin="3228,258" coordsize="4715,3413">
            <v:shape style="position:absolute;left:3228;top:257;width:4692;height:3413" coordorigin="3228,258" coordsize="4692,3413" path="m5617,3671l3313,3671,3313,259,7920,259,7920,3671,5617,3671xm3313,2618l3313,2533m3313,2618l3313,2533m3543,2618l3543,2533m3543,2618l3543,2533m3773,2618l3773,2533m3773,2618l3773,2533m4004,2618l4004,2533m4004,2618l4004,2533m4234,2618l4234,2533m4234,2618l4234,2533m4465,2618l4465,2533m4465,2618l4465,2533m4695,2618l4695,2533m4695,2618l4695,2533m4925,2618l4925,2533m4925,2618l4925,2533m5156,2618l5156,2533m5156,2618l5156,2533m5386,2618l5386,2533m5386,2618l5386,2533m5617,2618l5617,2533m5617,2618l5617,2533m5847,2618l5847,2533m5847,2618l5847,2533m6077,2618l6077,2533m6077,2618l6077,2533m6308,2618l6308,2533m6308,2618l6308,2533m6538,2618l6538,2533m6538,2618l6538,2533m6768,2618l6768,2533m6768,2618l6768,2533m6999,2618l6999,2533m6999,2618l6999,2533m7229,2618l7229,2533m7229,2618l7229,2533m7459,2618l7459,2533m7459,2618l7459,2533m7690,2618l7690,2533m7690,2618l7690,2533m7920,2618l7920,2533m7920,2618l7920,2533m3313,2533l7920,2533m3228,3670l3313,3670m3228,3670l3313,3670m3228,3291l3313,3291m3228,3291l3313,3291m3228,2912l3313,2912m3228,2912l3313,2912m3228,2533l3313,2533m3228,2533l3313,2533m3228,2154l3313,2154m3228,2154l3313,2154m3228,1774l3313,1774m3228,1774l3313,1774m3228,1395l3313,1395m3228,1395l3313,1395m3228,1016l3313,1016m3228,1016l3313,1016m3228,637l3313,637m3228,637l3313,637m3228,258l3313,258m3228,258l3313,258m3313,3670l3313,258e" filled="false" stroked="true" strokeweight="0pt" strokecolor="#b2b2b2">
              <v:path arrowok="t"/>
              <v:stroke dashstyle="solid"/>
            </v:shape>
            <v:shape style="position:absolute;left:3313;top:2529;width:4573;height:949" coordorigin="3313,2530" coordsize="4573,949" path="m3313,3479l3382,3422m3451,3365l3519,3308m3588,3251l3657,3195m3726,3138l3773,3100,3795,3081m3864,3024l3933,2968m4002,2911l4004,2910,4071,2854m4140,2797l4209,2741m4278,2684l4347,2627m4416,2570l4464,2530,4491,2530m4581,2530l4670,2530m4759,2530l4849,2530m4938,2530l5027,2530m5117,2530l5156,2530,5206,2530m5295,2530l5385,2530m5474,2530l5563,2530m5653,2530l5742,2530m5831,2530l5847,2530,5921,2530m6010,2530l6077,2530,6099,2530m6189,2530l6278,2530m6367,2530l6457,2530m6546,2530l6635,2530m6725,2530l6768,2530,6814,2530m6903,2530l6993,2530m7082,2530l7171,2530m7261,2530l7350,2530m7439,2530l7459,2530,7529,2530m7618,2530l7690,2530,7707,2530m7797,2530l7886,2530e" filled="false" stroked="true" strokeweight="2.25pt" strokecolor="#004485">
              <v:path arrowok="t"/>
              <v:stroke dashstyle="solid"/>
            </v:shape>
            <v:shape style="position:absolute;left:3313;top:655;width:4607;height:2844" coordorigin="3313,656" coordsize="4607,2844" path="m3313,656l3382,713m3451,769l3520,826m3589,883l3658,940m3726,997l3773,1035,3795,1054m3865,1110l3934,1167m4003,1224l4004,1224,4072,1280m4140,1337l4209,1394m4278,1451l4347,1508m4416,1564l4464,1604,4485,1621m4554,1678l4623,1735m4692,1791l4695,1794,4761,1848m4830,1905l4899,1962m4968,2018l5037,2075m5106,2132l5156,2172,5175,2189m5244,2245l5313,2302m5382,2359l5386,2362,5451,2416m5520,2472l5589,2529m5658,2586l5727,2643m5796,2700l5847,2741,5865,2756m5934,2813l6003,2870m6072,2927l6077,2931,6141,2983m6210,3040l6279,3097m6348,3154l6417,3211m6486,3267l6538,3310,6555,3324m6624,3381l6693,3438m6762,3494l6768,3500,6849,3500m6939,3500l6999,3500,7028,3500m7117,3500l7207,3500m7296,3500l7385,3500m7475,3500l7564,3500m7653,3500l7690,3500,7743,3500m7832,3500l7920,3500e" filled="false" stroked="true" strokeweight="2.25pt" strokecolor="#ff410d">
              <v:path arrowok="t"/>
              <v:stroke dashstyle="solid"/>
            </v:shape>
            <v:shape style="position:absolute;left:3313;top:1601;width:4607;height:1896" coordorigin="3313,1602" coordsize="4607,1896" path="m3313,1602l3313,1602,4464,1602,4695,1791,4925,1981,5156,2171,5386,2360,5617,2550,5847,2739,6077,2929,6308,3118,6538,3308,6768,3498,6999,3498,7229,3498,7459,3498,7690,3498,7920,3498e" filled="false" stroked="true" strokeweight="2.26751pt" strokecolor="#000000">
              <v:path arrowok="t"/>
              <v:stroke dashstyle="solid"/>
            </v:shape>
            <w10:wrap type="none"/>
          </v:group>
        </w:pict>
      </w:r>
      <w:r>
        <w:rPr>
          <w:rFonts w:ascii="Liberation Sans"/>
          <w:spacing w:val="-4"/>
          <w:sz w:val="20"/>
        </w:rPr>
        <w:t>12</w:t>
      </w:r>
    </w:p>
    <w:p>
      <w:pPr>
        <w:spacing w:before="148"/>
        <w:ind w:left="1263" w:right="3927" w:firstLine="0"/>
        <w:jc w:val="center"/>
        <w:rPr>
          <w:rFonts w:ascii="Liberation Sans"/>
          <w:sz w:val="20"/>
        </w:rPr>
      </w:pPr>
      <w:r>
        <w:rPr>
          <w:rFonts w:ascii="Liberation Sans"/>
          <w:spacing w:val="-4"/>
          <w:sz w:val="20"/>
        </w:rPr>
        <w:t>10</w:t>
      </w:r>
    </w:p>
    <w:p>
      <w:pPr>
        <w:spacing w:before="150"/>
        <w:ind w:left="0" w:right="2560" w:firstLine="0"/>
        <w:jc w:val="center"/>
        <w:rPr>
          <w:rFonts w:ascii="Liberation Sans"/>
          <w:sz w:val="20"/>
        </w:rPr>
      </w:pPr>
      <w:r>
        <w:rPr>
          <w:rFonts w:ascii="Liberation Sans"/>
          <w:sz w:val="20"/>
        </w:rPr>
        <w:t>8</w:t>
      </w:r>
    </w:p>
    <w:p>
      <w:pPr>
        <w:spacing w:before="148"/>
        <w:ind w:left="0" w:right="2560" w:firstLine="0"/>
        <w:jc w:val="center"/>
        <w:rPr>
          <w:rFonts w:ascii="Liberation Sans"/>
          <w:sz w:val="20"/>
        </w:rPr>
      </w:pPr>
      <w:r>
        <w:rPr>
          <w:rFonts w:ascii="Liberation Sans"/>
          <w:sz w:val="20"/>
        </w:rPr>
        <w:t>6</w:t>
      </w:r>
    </w:p>
    <w:p>
      <w:pPr>
        <w:spacing w:before="150"/>
        <w:ind w:left="0" w:right="2560" w:firstLine="0"/>
        <w:jc w:val="center"/>
        <w:rPr>
          <w:rFonts w:ascii="Liberation Sans"/>
          <w:sz w:val="20"/>
        </w:rPr>
      </w:pPr>
      <w:r>
        <w:rPr/>
        <w:pict>
          <v:shape style="position:absolute;margin-left:128.052536pt;margin-top:16.782816pt;width:12.1pt;height:16.2pt;mso-position-horizontal-relative:page;mso-position-vertical-relative:paragraph;z-index:2896" type="#_x0000_t202" filled="false" stroked="false">
            <v:textbox inset="0,0,0,0" style="layout-flow:vertical;mso-layout-flow-alt:bottom-to-top">
              <w:txbxContent>
                <w:p>
                  <w:pPr>
                    <w:spacing w:before="14"/>
                    <w:ind w:left="20" w:right="0" w:firstLine="0"/>
                    <w:jc w:val="left"/>
                    <w:rPr>
                      <w:rFonts w:ascii="Liberation Sans" w:hAnsi="Liberation Sans"/>
                      <w:sz w:val="18"/>
                    </w:rPr>
                  </w:pPr>
                  <w:r>
                    <w:rPr>
                      <w:rFonts w:ascii="Liberation Sans" w:hAnsi="Liberation Sans"/>
                      <w:sz w:val="18"/>
                    </w:rPr>
                    <w:t>Kâr</w:t>
                  </w:r>
                </w:p>
              </w:txbxContent>
            </v:textbox>
            <w10:wrap type="none"/>
          </v:shape>
        </w:pict>
      </w:r>
      <w:r>
        <w:rPr>
          <w:rFonts w:ascii="Liberation Sans"/>
          <w:sz w:val="20"/>
        </w:rPr>
        <w:t>4</w:t>
      </w:r>
    </w:p>
    <w:p>
      <w:pPr>
        <w:spacing w:before="150"/>
        <w:ind w:left="0" w:right="2560" w:firstLine="0"/>
        <w:jc w:val="center"/>
        <w:rPr>
          <w:rFonts w:ascii="Liberation Sans"/>
          <w:sz w:val="20"/>
        </w:rPr>
      </w:pPr>
      <w:r>
        <w:rPr>
          <w:rFonts w:ascii="Liberation Sans"/>
          <w:sz w:val="20"/>
        </w:rPr>
        <w:t>2</w:t>
      </w:r>
    </w:p>
    <w:p>
      <w:pPr>
        <w:spacing w:before="148"/>
        <w:ind w:left="0" w:right="2560" w:firstLine="0"/>
        <w:jc w:val="center"/>
        <w:rPr>
          <w:rFonts w:ascii="Liberation Sans"/>
          <w:sz w:val="20"/>
        </w:rPr>
      </w:pPr>
      <w:r>
        <w:rPr>
          <w:rFonts w:ascii="Liberation Sans"/>
          <w:sz w:val="20"/>
        </w:rPr>
        <w:t>0</w:t>
      </w:r>
    </w:p>
    <w:p>
      <w:pPr>
        <w:spacing w:before="150"/>
        <w:ind w:left="1326" w:right="0" w:firstLine="0"/>
        <w:jc w:val="left"/>
        <w:rPr>
          <w:rFonts w:ascii="Liberation Sans"/>
          <w:sz w:val="20"/>
        </w:rPr>
      </w:pPr>
      <w:r>
        <w:rPr/>
        <w:pict>
          <v:shape style="position:absolute;margin-left:156.509216pt;margin-top:4.161446pt;width:10.85pt;height:10pt;mso-position-horizontal-relative:page;mso-position-vertical-relative:paragraph;z-index:-80224;rotation:316" type="#_x0000_t136" fillcolor="#000000" stroked="f">
            <o:extrusion v:ext="view" autorotationcenter="t"/>
            <v:textpath style="font-family:&amp;quot;Liberation Sans&amp;quot;;font-size:10pt;v-text-kern:t;mso-text-shadow:auto" string="90"/>
            <w10:wrap type="none"/>
          </v:shape>
        </w:pict>
      </w:r>
      <w:r>
        <w:rPr/>
        <w:pict>
          <v:shape style="position:absolute;margin-left:179.488525pt;margin-top:4.111446pt;width:11pt;height:10pt;mso-position-horizontal-relative:page;mso-position-vertical-relative:paragraph;z-index:2968;rotation:316" type="#_x0000_t136" fillcolor="#000000" stroked="f">
            <o:extrusion v:ext="view" autorotationcenter="t"/>
            <v:textpath style="font-family:&amp;quot;Liberation Sans&amp;quot;;font-size:10pt;v-text-kern:t;mso-text-shadow:auto" string="92"/>
            <w10:wrap type="none"/>
          </v:shape>
        </w:pict>
      </w:r>
      <w:r>
        <w:rPr/>
        <w:pict>
          <v:shape style="position:absolute;margin-left:202.609222pt;margin-top:4.161445pt;width:10.85pt;height:10pt;mso-position-horizontal-relative:page;mso-position-vertical-relative:paragraph;z-index:2992;rotation:316" type="#_x0000_t136" fillcolor="#000000" stroked="f">
            <o:extrusion v:ext="view" autorotationcenter="t"/>
            <v:textpath style="font-family:&amp;quot;Liberation Sans&amp;quot;;font-size:10pt;v-text-kern:t;mso-text-shadow:auto" string="94"/>
            <w10:wrap type="none"/>
          </v:shape>
        </w:pict>
      </w:r>
      <w:r>
        <w:rPr/>
        <w:pict>
          <v:shape style="position:absolute;margin-left:225.609222pt;margin-top:4.161444pt;width:10.85pt;height:10pt;mso-position-horizontal-relative:page;mso-position-vertical-relative:paragraph;z-index:3016;rotation:316" type="#_x0000_t136" fillcolor="#000000" stroked="f">
            <o:extrusion v:ext="view" autorotationcenter="t"/>
            <v:textpath style="font-family:&amp;quot;Liberation Sans&amp;quot;;font-size:10pt;v-text-kern:t;mso-text-shadow:auto" string="96"/>
            <w10:wrap type="none"/>
          </v:shape>
        </w:pict>
      </w:r>
      <w:r>
        <w:rPr/>
        <w:pict>
          <v:shape style="position:absolute;margin-left:248.588516pt;margin-top:4.111444pt;width:11pt;height:10pt;mso-position-horizontal-relative:page;mso-position-vertical-relative:paragraph;z-index:3040;rotation:316" type="#_x0000_t136" fillcolor="#000000" stroked="f">
            <o:extrusion v:ext="view" autorotationcenter="t"/>
            <v:textpath style="font-family:&amp;quot;Liberation Sans&amp;quot;;font-size:10pt;v-text-kern:t;mso-text-shadow:auto" string="98"/>
            <w10:wrap type="none"/>
          </v:shape>
        </w:pict>
      </w:r>
      <w:r>
        <w:rPr/>
        <w:pict>
          <v:shape style="position:absolute;margin-left:267.222626pt;margin-top:5.961442pt;width:16.2pt;height:10pt;mso-position-horizontal-relative:page;mso-position-vertical-relative:paragraph;z-index:3064;rotation:316" type="#_x0000_t136" fillcolor="#000000" stroked="f">
            <o:extrusion v:ext="view" autorotationcenter="t"/>
            <v:textpath style="font-family:&amp;quot;Liberation Sans&amp;quot;;font-size:10pt;v-text-kern:t;mso-text-shadow:auto" string="100"/>
            <w10:wrap type="none"/>
          </v:shape>
        </w:pict>
      </w:r>
      <w:r>
        <w:rPr/>
        <w:pict>
          <v:shape style="position:absolute;margin-left:290.222626pt;margin-top:5.961441pt;width:16.2pt;height:10pt;mso-position-horizontal-relative:page;mso-position-vertical-relative:paragraph;z-index:3088;rotation:316" type="#_x0000_t136" fillcolor="#000000" stroked="f">
            <o:extrusion v:ext="view" autorotationcenter="t"/>
            <v:textpath style="font-family:&amp;quot;Liberation Sans&amp;quot;;font-size:10pt;v-text-kern:t;mso-text-shadow:auto" string="102"/>
            <w10:wrap type="none"/>
          </v:shape>
        </w:pict>
      </w:r>
      <w:r>
        <w:rPr/>
        <w:pict>
          <v:shape style="position:absolute;margin-left:313.222626pt;margin-top:5.961444pt;width:16.2pt;height:10pt;mso-position-horizontal-relative:page;mso-position-vertical-relative:paragraph;z-index:3112;rotation:316" type="#_x0000_t136" fillcolor="#000000" stroked="f">
            <o:extrusion v:ext="view" autorotationcenter="t"/>
            <v:textpath style="font-family:&amp;quot;Liberation Sans&amp;quot;;font-size:10pt;v-text-kern:t;mso-text-shadow:auto" string="104"/>
            <w10:wrap type="none"/>
          </v:shape>
        </w:pict>
      </w:r>
      <w:r>
        <w:rPr/>
        <w:pict>
          <v:shape style="position:absolute;margin-left:336.322632pt;margin-top:5.96144pt;width:16.2pt;height:10pt;mso-position-horizontal-relative:page;mso-position-vertical-relative:paragraph;z-index:3136;rotation:316" type="#_x0000_t136" fillcolor="#000000" stroked="f">
            <o:extrusion v:ext="view" autorotationcenter="t"/>
            <v:textpath style="font-family:&amp;quot;Liberation Sans&amp;quot;;font-size:10pt;v-text-kern:t;mso-text-shadow:auto" string="106"/>
            <w10:wrap type="none"/>
          </v:shape>
        </w:pict>
      </w:r>
      <w:r>
        <w:rPr>
          <w:rFonts w:ascii="Liberation Sans"/>
          <w:spacing w:val="-4"/>
          <w:sz w:val="20"/>
        </w:rPr>
        <w:t>-2</w:t>
      </w:r>
    </w:p>
    <w:p>
      <w:pPr>
        <w:spacing w:before="148"/>
        <w:ind w:left="1326" w:right="0" w:firstLine="0"/>
        <w:jc w:val="left"/>
        <w:rPr>
          <w:rFonts w:ascii="Liberation Sans"/>
          <w:sz w:val="20"/>
        </w:rPr>
      </w:pPr>
      <w:r>
        <w:rPr>
          <w:rFonts w:ascii="Liberation Sans"/>
          <w:spacing w:val="-4"/>
          <w:sz w:val="20"/>
        </w:rPr>
        <w:t>-4</w:t>
      </w:r>
    </w:p>
    <w:p>
      <w:pPr>
        <w:spacing w:before="150"/>
        <w:ind w:left="1326" w:right="0" w:firstLine="0"/>
        <w:jc w:val="left"/>
        <w:rPr>
          <w:rFonts w:ascii="Liberation Sans"/>
          <w:sz w:val="20"/>
        </w:rPr>
      </w:pPr>
      <w:r>
        <w:rPr>
          <w:rFonts w:ascii="Liberation Sans"/>
          <w:spacing w:val="-4"/>
          <w:sz w:val="20"/>
        </w:rPr>
        <w:t>-6</w:t>
      </w:r>
    </w:p>
    <w:p>
      <w:pPr>
        <w:spacing w:before="191"/>
        <w:ind w:left="3022" w:right="0" w:firstLine="0"/>
        <w:jc w:val="left"/>
        <w:rPr>
          <w:rFonts w:ascii="Liberation Sans" w:hAnsi="Liberation Sans"/>
          <w:sz w:val="18"/>
        </w:rPr>
      </w:pPr>
      <w:r>
        <w:rPr>
          <w:rFonts w:ascii="Liberation Sans" w:hAnsi="Liberation Sans"/>
          <w:sz w:val="18"/>
        </w:rPr>
        <w:t>Varlığın Yeni Değeri</w:t>
      </w:r>
    </w:p>
    <w:p>
      <w:pPr>
        <w:pStyle w:val="BodyText"/>
        <w:rPr>
          <w:rFonts w:ascii="Liberation Sans"/>
          <w:sz w:val="22"/>
        </w:rPr>
      </w:pPr>
      <w:r>
        <w:rPr/>
        <w:br w:type="column"/>
      </w:r>
      <w:r>
        <w:rPr>
          <w:rFonts w:ascii="Liberation Sans"/>
          <w:sz w:val="22"/>
        </w:rPr>
      </w: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rPr>
          <w:rFonts w:ascii="Liberation Sans"/>
          <w:sz w:val="22"/>
        </w:rPr>
      </w:pPr>
    </w:p>
    <w:p>
      <w:pPr>
        <w:pStyle w:val="BodyText"/>
        <w:spacing w:before="11"/>
        <w:rPr>
          <w:rFonts w:ascii="Liberation Sans"/>
          <w:sz w:val="29"/>
        </w:rPr>
      </w:pPr>
    </w:p>
    <w:p>
      <w:pPr>
        <w:spacing w:line="295" w:lineRule="auto" w:before="0"/>
        <w:ind w:left="1282" w:right="1526" w:firstLine="0"/>
        <w:jc w:val="left"/>
        <w:rPr>
          <w:rFonts w:ascii="Liberation Sans"/>
          <w:sz w:val="20"/>
        </w:rPr>
      </w:pPr>
      <w:r>
        <w:rPr/>
        <w:pict>
          <v:shape style="position:absolute;margin-left:359.322632pt;margin-top:59.661423pt;width:16.2pt;height:10pt;mso-position-horizontal-relative:page;mso-position-vertical-relative:paragraph;z-index:3160;rotation:316" type="#_x0000_t136" fillcolor="#000000" stroked="f">
            <o:extrusion v:ext="view" autorotationcenter="t"/>
            <v:textpath style="font-family:&amp;quot;Liberation Sans&amp;quot;;font-size:10pt;v-text-kern:t;mso-text-shadow:auto" string="108"/>
            <w10:wrap type="none"/>
          </v:shape>
        </w:pict>
      </w:r>
      <w:r>
        <w:rPr/>
        <w:pict>
          <v:shape style="position:absolute;margin-left:382.422638pt;margin-top:59.661419pt;width:16.2pt;height:10pt;mso-position-horizontal-relative:page;mso-position-vertical-relative:paragraph;z-index:3184;rotation:316" type="#_x0000_t136" fillcolor="#000000" stroked="f">
            <o:extrusion v:ext="view" autorotationcenter="t"/>
            <v:textpath style="font-family:&amp;quot;Liberation Sans&amp;quot;;font-size:10pt;v-text-kern:t;mso-text-shadow:auto" string="110"/>
            <w10:wrap type="none"/>
          </v:shape>
        </w:pict>
      </w:r>
      <w:r>
        <w:rPr>
          <w:rFonts w:ascii="Liberation Sans"/>
          <w:sz w:val="20"/>
        </w:rPr>
        <w:t>put_95_s put_105_l bear_spread</w:t>
      </w:r>
    </w:p>
    <w:p>
      <w:pPr>
        <w:spacing w:after="0" w:line="295" w:lineRule="auto"/>
        <w:jc w:val="left"/>
        <w:rPr>
          <w:rFonts w:ascii="Liberation Sans"/>
          <w:sz w:val="20"/>
        </w:rPr>
        <w:sectPr>
          <w:type w:val="continuous"/>
          <w:pgSz w:w="11910" w:h="16840"/>
          <w:pgMar w:top="1580" w:bottom="280" w:left="1680" w:right="0"/>
          <w:cols w:num="2" w:equalWidth="0">
            <w:col w:w="5446" w:space="832"/>
            <w:col w:w="3952"/>
          </w:cols>
        </w:sectPr>
      </w:pPr>
    </w:p>
    <w:p>
      <w:pPr>
        <w:pStyle w:val="BodyText"/>
        <w:spacing w:before="9"/>
        <w:rPr>
          <w:rFonts w:ascii="Liberation Sans"/>
          <w:sz w:val="22"/>
        </w:rPr>
      </w:pPr>
      <w:r>
        <w:rPr/>
        <w:pict>
          <v:line style="position:absolute;mso-position-horizontal-relative:page;mso-position-vertical-relative:page;z-index:2536" from="413.75pt,300.849976pt" to="418.25pt,300.849976pt" stroked="true" strokeweight="2.25pt" strokecolor="#004485">
            <v:stroke dashstyle="solid"/>
            <w10:wrap type="none"/>
          </v:line>
        </w:pict>
      </w:r>
      <w:r>
        <w:rPr/>
        <w:pict>
          <v:line style="position:absolute;mso-position-horizontal-relative:page;mso-position-vertical-relative:page;z-index:2560" from="422.700012pt,300.849976pt" to="427.150012pt,300.849976pt" stroked="true" strokeweight="2.25pt" strokecolor="#004485">
            <v:stroke dashstyle="solid"/>
            <w10:wrap type="none"/>
          </v:line>
        </w:pict>
      </w:r>
      <w:r>
        <w:rPr/>
        <w:pict>
          <v:line style="position:absolute;mso-position-horizontal-relative:page;mso-position-vertical-relative:page;z-index:2584" from="431.649994pt,300.849976pt" to="436.099994pt,300.849976pt" stroked="true" strokeweight="2.25pt" strokecolor="#004485">
            <v:stroke dashstyle="solid"/>
            <w10:wrap type="none"/>
          </v:line>
        </w:pict>
      </w:r>
      <w:r>
        <w:rPr/>
        <w:pict>
          <v:line style="position:absolute;mso-position-horizontal-relative:page;mso-position-vertical-relative:page;z-index:2608" from="440.549988pt,300.849976pt" to="445.049988pt,300.849976pt" stroked="true" strokeweight="2.25pt" strokecolor="#004485">
            <v:stroke dashstyle="solid"/>
            <w10:wrap type="none"/>
          </v:line>
        </w:pict>
      </w:r>
      <w:r>
        <w:rPr/>
        <w:pict>
          <v:line style="position:absolute;mso-position-horizontal-relative:page;mso-position-vertical-relative:page;z-index:2632" from="449.5pt,300.849976pt" to="453.95pt,300.849976pt" stroked="true" strokeweight="2.25pt" strokecolor="#004485">
            <v:stroke dashstyle="solid"/>
            <w10:wrap type="none"/>
          </v:line>
        </w:pict>
      </w:r>
      <w:r>
        <w:rPr/>
        <w:pict>
          <v:line style="position:absolute;mso-position-horizontal-relative:page;mso-position-vertical-relative:page;z-index:2656" from="458.775012pt,299.724976pt" to="458.775012pt,301.974976pt" stroked="true" strokeweight=".65pt" strokecolor="#004485">
            <v:stroke dashstyle="solid"/>
            <w10:wrap type="none"/>
          </v:line>
        </w:pict>
      </w:r>
      <w:r>
        <w:rPr/>
        <w:pict>
          <v:line style="position:absolute;mso-position-horizontal-relative:page;mso-position-vertical-relative:page;z-index:2680" from="413.75pt,314.949982pt" to="418.25pt,314.949982pt" stroked="true" strokeweight="2.25pt" strokecolor="#ff410d">
            <v:stroke dashstyle="solid"/>
            <w10:wrap type="none"/>
          </v:line>
        </w:pict>
      </w:r>
      <w:r>
        <w:rPr/>
        <w:pict>
          <v:line style="position:absolute;mso-position-horizontal-relative:page;mso-position-vertical-relative:page;z-index:2704" from="422.700012pt,314.949982pt" to="427.150012pt,314.949982pt" stroked="true" strokeweight="2.25pt" strokecolor="#ff410d">
            <v:stroke dashstyle="solid"/>
            <w10:wrap type="none"/>
          </v:line>
        </w:pict>
      </w:r>
      <w:r>
        <w:rPr/>
        <w:pict>
          <v:line style="position:absolute;mso-position-horizontal-relative:page;mso-position-vertical-relative:page;z-index:2728" from="431.649994pt,314.949982pt" to="436.099994pt,314.949982pt" stroked="true" strokeweight="2.25pt" strokecolor="#ff410d">
            <v:stroke dashstyle="solid"/>
            <w10:wrap type="none"/>
          </v:line>
        </w:pict>
      </w:r>
      <w:r>
        <w:rPr/>
        <w:pict>
          <v:line style="position:absolute;mso-position-horizontal-relative:page;mso-position-vertical-relative:page;z-index:2752" from="440.549988pt,314.949982pt" to="445.049988pt,314.949982pt" stroked="true" strokeweight="2.25pt" strokecolor="#ff410d">
            <v:stroke dashstyle="solid"/>
            <w10:wrap type="none"/>
          </v:line>
        </w:pict>
      </w:r>
      <w:r>
        <w:rPr/>
        <w:pict>
          <v:line style="position:absolute;mso-position-horizontal-relative:page;mso-position-vertical-relative:page;z-index:2776" from="449.5pt,314.949982pt" to="453.95pt,314.949982pt" stroked="true" strokeweight="2.25pt" strokecolor="#ff410d">
            <v:stroke dashstyle="solid"/>
            <w10:wrap type="none"/>
          </v:line>
        </w:pict>
      </w:r>
      <w:r>
        <w:rPr/>
        <w:pict>
          <v:line style="position:absolute;mso-position-horizontal-relative:page;mso-position-vertical-relative:page;z-index:2800" from="458.775012pt,313.824982pt" to="458.775012pt,316.074982pt" stroked="true" strokeweight=".65pt" strokecolor="#ff410d">
            <v:stroke dashstyle="solid"/>
            <w10:wrap type="none"/>
          </v:line>
        </w:pict>
      </w:r>
      <w:r>
        <w:rPr/>
        <w:pict>
          <v:line style="position:absolute;mso-position-horizontal-relative:page;mso-position-vertical-relative:page;z-index:2824" from="413.75pt,329.099976pt" to="459.1pt,329.099976pt" stroked="true" strokeweight="2.26751pt" strokecolor="#000000">
            <v:stroke dashstyle="solid"/>
            <w10:wrap type="none"/>
          </v:line>
        </w:pict>
      </w:r>
    </w:p>
    <w:p>
      <w:pPr>
        <w:spacing w:before="90"/>
        <w:ind w:left="590" w:right="1608" w:firstLine="0"/>
        <w:jc w:val="left"/>
        <w:rPr>
          <w:i/>
          <w:sz w:val="24"/>
        </w:rPr>
      </w:pPr>
      <w:r>
        <w:rPr>
          <w:i/>
          <w:color w:val="000009"/>
          <w:sz w:val="24"/>
        </w:rPr>
        <w:t>Grafik 4: Bear Spread Stratejisi (95$'dan satma hakkı 0.01$'a satılıp 105$'dan </w:t>
      </w:r>
      <w:r>
        <w:rPr>
          <w:i/>
          <w:color w:val="000009"/>
          <w:sz w:val="24"/>
        </w:rPr>
        <w:t>satma hakkı 5.1$'a alındığında)</w:t>
      </w:r>
    </w:p>
    <w:p>
      <w:pPr>
        <w:pStyle w:val="BodyText"/>
        <w:rPr>
          <w:i/>
          <w:sz w:val="20"/>
        </w:rPr>
      </w:pPr>
    </w:p>
    <w:p>
      <w:pPr>
        <w:pStyle w:val="BodyText"/>
        <w:spacing w:before="5"/>
        <w:rPr>
          <w:i/>
          <w:sz w:val="27"/>
        </w:rPr>
      </w:pPr>
    </w:p>
    <w:p>
      <w:pPr>
        <w:pStyle w:val="Heading2"/>
        <w:numPr>
          <w:ilvl w:val="2"/>
          <w:numId w:val="1"/>
        </w:numPr>
        <w:tabs>
          <w:tab w:pos="1698" w:val="left" w:leader="none"/>
        </w:tabs>
        <w:spacing w:line="240" w:lineRule="auto" w:before="90" w:after="0"/>
        <w:ind w:left="1698" w:right="0" w:hanging="540"/>
        <w:jc w:val="left"/>
      </w:pPr>
      <w:r>
        <w:rPr>
          <w:color w:val="000009"/>
        </w:rPr>
        <w:t>Long</w:t>
      </w:r>
      <w:r>
        <w:rPr>
          <w:color w:val="000009"/>
          <w:spacing w:val="-1"/>
        </w:rPr>
        <w:t> </w:t>
      </w:r>
      <w:r>
        <w:rPr>
          <w:color w:val="000009"/>
        </w:rPr>
        <w:t>Put</w:t>
      </w:r>
    </w:p>
    <w:p>
      <w:pPr>
        <w:pStyle w:val="BodyText"/>
        <w:spacing w:before="10"/>
        <w:rPr>
          <w:b/>
          <w:sz w:val="32"/>
        </w:rPr>
      </w:pPr>
    </w:p>
    <w:p>
      <w:pPr>
        <w:pStyle w:val="BodyText"/>
        <w:spacing w:line="360" w:lineRule="auto" w:before="1"/>
        <w:ind w:left="590" w:right="1608"/>
      </w:pPr>
      <w:r>
        <w:rPr>
          <w:color w:val="000009"/>
        </w:rPr>
        <w:t>“Satma hakkı satın alma” anlamına gelen bu stratejide varlığın fiyatı ne kadar düşerse o kadar çok kâr elde </w:t>
      </w:r>
      <w:r>
        <w:rPr>
          <w:color w:val="000009"/>
          <w:spacing w:val="-3"/>
        </w:rPr>
        <w:t>edilir. </w:t>
      </w:r>
      <w:r>
        <w:rPr>
          <w:color w:val="000009"/>
        </w:rPr>
        <w:t>Fiyat düşmediği sürece zarar</w:t>
      </w:r>
      <w:r>
        <w:rPr>
          <w:color w:val="000009"/>
          <w:spacing w:val="2"/>
        </w:rPr>
        <w:t> </w:t>
      </w:r>
      <w:r>
        <w:rPr>
          <w:color w:val="000009"/>
          <w:spacing w:val="-3"/>
        </w:rPr>
        <w:t>edilir.</w:t>
      </w:r>
    </w:p>
    <w:p>
      <w:pPr>
        <w:pStyle w:val="BodyText"/>
        <w:spacing w:before="9"/>
        <w:rPr>
          <w:sz w:val="14"/>
        </w:rPr>
      </w:pPr>
    </w:p>
    <w:p>
      <w:pPr>
        <w:pStyle w:val="Heading1"/>
        <w:spacing w:before="92"/>
        <w:ind w:right="825"/>
      </w:pPr>
      <w:r>
        <w:rPr/>
        <w:t>Long Put</w:t>
      </w:r>
    </w:p>
    <w:p>
      <w:pPr>
        <w:spacing w:before="135"/>
        <w:ind w:left="1322" w:right="0" w:firstLine="0"/>
        <w:jc w:val="left"/>
        <w:rPr>
          <w:rFonts w:ascii="Liberation Sans"/>
          <w:sz w:val="20"/>
        </w:rPr>
      </w:pPr>
      <w:r>
        <w:rPr/>
        <w:pict>
          <v:group style="position:absolute;margin-left:162.399994pt;margin-top:12.72988pt;width:350.2pt;height:78.350pt;mso-position-horizontal-relative:page;mso-position-vertical-relative:paragraph;z-index:2872" coordorigin="3248,255" coordsize="7004,1567">
            <v:shape style="position:absolute;left:3268;top:254;width:6820;height:1567" coordorigin="3268,255" coordsize="6820,1567" path="m6720,1822l3353,1822,3353,256,10088,256,10088,1822,6720,1822xm3353,1384l3353,1299m3353,1384l3353,1299m3690,1384l3690,1299m3690,1384l3690,1299m4026,1384l4026,1299m4026,1384l4026,1299m4363,1384l4363,1299m4363,1384l4363,1299m4700,1384l4700,1299m4700,1384l4700,1299m5036,1384l5036,1299m5036,1384l5036,1299m5373,1384l5373,1299m5373,1384l5373,1299m5710,1384l5710,1299m5710,1384l5710,1299m6046,1384l6046,1299m6046,1384l6046,1299m6383,1384l6383,1299m6383,1384l6383,1299m6720,1384l6720,1299m6720,1384l6720,1299m7057,1384l7057,1299m7057,1384l7057,1299m7394,1384l7394,1299m7394,1384l7394,1299m7730,1384l7730,1299m7730,1384l7730,1299m8067,1384l8067,1299m8067,1384l8067,1299m8404,1384l8404,1299m8404,1384l8404,1299m8741,1384l8741,1299m8741,1384l8741,1299m9077,1384l9077,1299m9077,1384l9077,1299m9414,1384l9414,1299m9414,1384l9414,1299m9751,1384l9751,1299m9751,1384l9751,1299m10087,1384l10087,1299m10087,1384l10087,1299m3353,1299l10087,1299m3268,1821l3353,1821m3268,1821l3353,1821m3268,1299l3353,1299m3268,1299l3353,1299m3268,777l3353,777m3268,777l3353,777m3268,255l3353,255m3268,255l3353,255m3353,1821l3353,255e" filled="false" stroked="true" strokeweight="0pt" strokecolor="#b2b2b2">
              <v:path arrowok="t"/>
              <v:stroke dashstyle="solid"/>
            </v:shape>
            <v:shape style="position:absolute;left:3353;top:358;width:6734;height:1044" coordorigin="3353,359" coordsize="6734,1044" path="m3353,359l3690,463,4026,568,4363,673,4700,777,5036,881,5373,985,5710,1090,6046,1194,6383,1299,6720,1403,7057,1403,7394,1403,9751,1403,10087,1403e" filled="false" stroked="true" strokeweight="2.267260pt" strokecolor="#004485">
              <v:path arrowok="t"/>
              <v:stroke dashstyle="solid"/>
            </v:shape>
            <v:shape style="position:absolute;left:3248;top:254;width:7004;height:1567" type="#_x0000_t202" filled="false" stroked="false">
              <v:textbox inset="0,0,0,0">
                <w:txbxContent>
                  <w:p>
                    <w:pPr>
                      <w:spacing w:line="240" w:lineRule="auto" w:before="0"/>
                      <w:rPr>
                        <w:i/>
                        <w:sz w:val="22"/>
                      </w:rPr>
                    </w:pPr>
                  </w:p>
                  <w:p>
                    <w:pPr>
                      <w:spacing w:line="240" w:lineRule="auto" w:before="0"/>
                      <w:rPr>
                        <w:i/>
                        <w:sz w:val="22"/>
                      </w:rPr>
                    </w:pPr>
                  </w:p>
                  <w:p>
                    <w:pPr>
                      <w:spacing w:line="240" w:lineRule="auto" w:before="0"/>
                      <w:rPr>
                        <w:i/>
                        <w:sz w:val="22"/>
                      </w:rPr>
                    </w:pPr>
                  </w:p>
                  <w:p>
                    <w:pPr>
                      <w:spacing w:line="240" w:lineRule="auto" w:before="0"/>
                      <w:rPr>
                        <w:i/>
                        <w:sz w:val="22"/>
                      </w:rPr>
                    </w:pPr>
                  </w:p>
                  <w:p>
                    <w:pPr>
                      <w:spacing w:before="166"/>
                      <w:ind w:left="0" w:right="0" w:firstLine="0"/>
                      <w:jc w:val="left"/>
                      <w:rPr>
                        <w:rFonts w:ascii="Liberation Sans"/>
                        <w:sz w:val="20"/>
                      </w:rPr>
                    </w:pPr>
                    <w:r>
                      <w:rPr>
                        <w:rFonts w:ascii="Liberation Sans"/>
                        <w:sz w:val="20"/>
                      </w:rPr>
                      <w:t>90 91 92 93 94 95 96 97 98 99 100101102103104105106107108109110</w:t>
                    </w:r>
                  </w:p>
                </w:txbxContent>
              </v:textbox>
              <w10:wrap type="none"/>
            </v:shape>
            <w10:wrap type="none"/>
          </v:group>
        </w:pict>
      </w:r>
      <w:r>
        <w:rPr>
          <w:rFonts w:ascii="Liberation Sans"/>
          <w:spacing w:val="-3"/>
          <w:sz w:val="20"/>
        </w:rPr>
        <w:t>10</w:t>
      </w:r>
    </w:p>
    <w:p>
      <w:pPr>
        <w:pStyle w:val="BodyText"/>
        <w:spacing w:before="3"/>
        <w:rPr>
          <w:rFonts w:ascii="Liberation Sans"/>
          <w:sz w:val="17"/>
        </w:rPr>
      </w:pPr>
    </w:p>
    <w:p>
      <w:pPr>
        <w:spacing w:before="94"/>
        <w:ind w:left="1426" w:right="0" w:firstLine="0"/>
        <w:jc w:val="left"/>
        <w:rPr>
          <w:rFonts w:ascii="Liberation Sans"/>
          <w:sz w:val="20"/>
        </w:rPr>
      </w:pPr>
      <w:r>
        <w:rPr/>
        <w:pict>
          <v:shape style="position:absolute;margin-left:130.152542pt;margin-top:15.682818pt;width:12.1pt;height:16.2pt;mso-position-horizontal-relative:page;mso-position-vertical-relative:paragraph;z-index:2920" type="#_x0000_t202" filled="false" stroked="false">
            <v:textbox inset="0,0,0,0" style="layout-flow:vertical;mso-layout-flow-alt:bottom-to-top">
              <w:txbxContent>
                <w:p>
                  <w:pPr>
                    <w:spacing w:before="14"/>
                    <w:ind w:left="20" w:right="0" w:firstLine="0"/>
                    <w:jc w:val="left"/>
                    <w:rPr>
                      <w:rFonts w:ascii="Liberation Sans" w:hAnsi="Liberation Sans"/>
                      <w:sz w:val="18"/>
                    </w:rPr>
                  </w:pPr>
                  <w:r>
                    <w:rPr>
                      <w:rFonts w:ascii="Liberation Sans" w:hAnsi="Liberation Sans"/>
                      <w:sz w:val="18"/>
                    </w:rPr>
                    <w:t>Kâr</w:t>
                  </w:r>
                </w:p>
              </w:txbxContent>
            </v:textbox>
            <w10:wrap type="none"/>
          </v:shape>
        </w:pict>
      </w:r>
      <w:r>
        <w:rPr>
          <w:rFonts w:ascii="Liberation Sans"/>
          <w:sz w:val="20"/>
        </w:rPr>
        <w:t>5</w:t>
      </w:r>
    </w:p>
    <w:p>
      <w:pPr>
        <w:pStyle w:val="BodyText"/>
        <w:spacing w:before="3"/>
        <w:rPr>
          <w:rFonts w:ascii="Liberation Sans"/>
          <w:sz w:val="17"/>
        </w:rPr>
      </w:pPr>
    </w:p>
    <w:p>
      <w:pPr>
        <w:spacing w:before="93"/>
        <w:ind w:left="1426" w:right="0" w:firstLine="0"/>
        <w:jc w:val="left"/>
        <w:rPr>
          <w:rFonts w:ascii="Liberation Sans"/>
          <w:sz w:val="20"/>
        </w:rPr>
      </w:pPr>
      <w:r>
        <w:rPr>
          <w:rFonts w:ascii="Liberation Sans"/>
          <w:sz w:val="20"/>
        </w:rPr>
        <w:t>0</w:t>
      </w:r>
    </w:p>
    <w:p>
      <w:pPr>
        <w:pStyle w:val="BodyText"/>
        <w:spacing w:before="3"/>
        <w:rPr>
          <w:rFonts w:ascii="Liberation Sans"/>
          <w:sz w:val="17"/>
        </w:rPr>
      </w:pPr>
    </w:p>
    <w:p>
      <w:pPr>
        <w:spacing w:before="94"/>
        <w:ind w:left="1366" w:right="0" w:firstLine="0"/>
        <w:jc w:val="left"/>
        <w:rPr>
          <w:rFonts w:ascii="Liberation Sans"/>
          <w:sz w:val="20"/>
        </w:rPr>
      </w:pPr>
      <w:r>
        <w:rPr>
          <w:rFonts w:ascii="Liberation Sans"/>
          <w:spacing w:val="-4"/>
          <w:sz w:val="20"/>
        </w:rPr>
        <w:t>-5</w:t>
      </w:r>
    </w:p>
    <w:p>
      <w:pPr>
        <w:spacing w:before="114"/>
        <w:ind w:left="0" w:right="255" w:firstLine="0"/>
        <w:jc w:val="center"/>
        <w:rPr>
          <w:rFonts w:ascii="Liberation Sans" w:hAnsi="Liberation Sans"/>
          <w:sz w:val="18"/>
        </w:rPr>
      </w:pPr>
      <w:r>
        <w:rPr>
          <w:rFonts w:ascii="Liberation Sans" w:hAnsi="Liberation Sans"/>
          <w:sz w:val="18"/>
        </w:rPr>
        <w:t>Varlığın Yeni Değeri</w:t>
      </w:r>
    </w:p>
    <w:p>
      <w:pPr>
        <w:pStyle w:val="BodyText"/>
        <w:spacing w:before="9"/>
        <w:rPr>
          <w:rFonts w:ascii="Liberation Sans"/>
          <w:sz w:val="22"/>
        </w:rPr>
      </w:pPr>
    </w:p>
    <w:p>
      <w:pPr>
        <w:spacing w:before="90"/>
        <w:ind w:left="631" w:right="0" w:firstLine="0"/>
        <w:jc w:val="left"/>
        <w:rPr>
          <w:i/>
          <w:sz w:val="24"/>
        </w:rPr>
      </w:pPr>
      <w:r>
        <w:rPr>
          <w:i/>
          <w:color w:val="000009"/>
          <w:sz w:val="24"/>
        </w:rPr>
        <w:t>Grafik 5: Long Put Stratejisi (100$'dan satma hakkı 1$'a alındığında)</w:t>
      </w:r>
    </w:p>
    <w:p>
      <w:pPr>
        <w:spacing w:after="0"/>
        <w:jc w:val="left"/>
        <w:rPr>
          <w:sz w:val="24"/>
        </w:rPr>
        <w:sectPr>
          <w:type w:val="continuous"/>
          <w:pgSz w:w="11910" w:h="16840"/>
          <w:pgMar w:top="1580" w:bottom="280" w:left="1680" w:right="0"/>
        </w:sectPr>
      </w:pPr>
    </w:p>
    <w:p>
      <w:pPr>
        <w:pStyle w:val="Heading2"/>
        <w:numPr>
          <w:ilvl w:val="1"/>
          <w:numId w:val="1"/>
        </w:numPr>
        <w:tabs>
          <w:tab w:pos="950" w:val="left" w:leader="none"/>
        </w:tabs>
        <w:spacing w:line="240" w:lineRule="auto" w:before="64" w:after="0"/>
        <w:ind w:left="950" w:right="0" w:hanging="360"/>
        <w:jc w:val="both"/>
      </w:pPr>
      <w:r>
        <w:rPr>
          <w:color w:val="000009"/>
        </w:rPr>
        <w:t>Kullanılan </w:t>
      </w:r>
      <w:r>
        <w:rPr>
          <w:color w:val="000009"/>
          <w:spacing w:val="-5"/>
        </w:rPr>
        <w:t>Teknik </w:t>
      </w:r>
      <w:r>
        <w:rPr>
          <w:color w:val="000009"/>
        </w:rPr>
        <w:t>Göstergeler</w:t>
      </w:r>
    </w:p>
    <w:p>
      <w:pPr>
        <w:pStyle w:val="BodyText"/>
        <w:rPr>
          <w:b/>
          <w:sz w:val="26"/>
        </w:rPr>
      </w:pPr>
    </w:p>
    <w:p>
      <w:pPr>
        <w:pStyle w:val="BodyText"/>
        <w:spacing w:before="8"/>
        <w:rPr>
          <w:b/>
          <w:sz w:val="27"/>
        </w:rPr>
      </w:pPr>
    </w:p>
    <w:p>
      <w:pPr>
        <w:pStyle w:val="ListParagraph"/>
        <w:numPr>
          <w:ilvl w:val="2"/>
          <w:numId w:val="1"/>
        </w:numPr>
        <w:tabs>
          <w:tab w:pos="1698" w:val="left" w:leader="none"/>
        </w:tabs>
        <w:spacing w:line="240" w:lineRule="auto" w:before="0" w:after="0"/>
        <w:ind w:left="1698" w:right="0" w:hanging="540"/>
        <w:jc w:val="left"/>
        <w:rPr>
          <w:b/>
          <w:sz w:val="24"/>
        </w:rPr>
      </w:pPr>
      <w:r>
        <w:rPr>
          <w:b/>
          <w:color w:val="000009"/>
          <w:sz w:val="24"/>
        </w:rPr>
        <w:t>Basit Hareketli Ortalama</w:t>
      </w:r>
      <w:r>
        <w:rPr>
          <w:b/>
          <w:color w:val="000009"/>
          <w:spacing w:val="-1"/>
          <w:sz w:val="24"/>
        </w:rPr>
        <w:t> </w:t>
      </w:r>
      <w:r>
        <w:rPr>
          <w:b/>
          <w:color w:val="000009"/>
          <w:sz w:val="24"/>
        </w:rPr>
        <w:t>(BHO)</w:t>
      </w:r>
    </w:p>
    <w:p>
      <w:pPr>
        <w:pStyle w:val="BodyText"/>
        <w:spacing w:before="10"/>
        <w:rPr>
          <w:b/>
          <w:sz w:val="32"/>
        </w:rPr>
      </w:pPr>
    </w:p>
    <w:p>
      <w:pPr>
        <w:pStyle w:val="BodyText"/>
        <w:spacing w:line="360" w:lineRule="auto"/>
        <w:ind w:left="590" w:right="1415"/>
        <w:jc w:val="both"/>
      </w:pPr>
      <w:r>
        <w:rPr>
          <w:i/>
          <w:color w:val="000009"/>
        </w:rPr>
        <w:t>n </w:t>
      </w:r>
      <w:r>
        <w:rPr>
          <w:color w:val="000009"/>
        </w:rPr>
        <w:t>günlük basit hareketli ortalama, varlığın son </w:t>
      </w:r>
      <w:r>
        <w:rPr>
          <w:i/>
          <w:color w:val="000009"/>
        </w:rPr>
        <w:t>n </w:t>
      </w:r>
      <w:r>
        <w:rPr>
          <w:color w:val="000009"/>
        </w:rPr>
        <w:t>günlük fiyatının ortalmasının alınmasıyla hesaplanır. </w:t>
      </w:r>
      <w:r>
        <w:rPr>
          <w:color w:val="000009"/>
          <w:spacing w:val="-4"/>
        </w:rPr>
        <w:t>Varlığın </w:t>
      </w:r>
      <w:r>
        <w:rPr>
          <w:color w:val="000009"/>
        </w:rPr>
        <w:t>fiyatıyla veya daha kısa periyotlu bir BHO değeriyle karşılaştırılarak varlığın fiyatının eğilimi üzerinde tahmin yapılmasını  </w:t>
      </w:r>
      <w:r>
        <w:rPr>
          <w:color w:val="000009"/>
          <w:spacing w:val="-3"/>
        </w:rPr>
        <w:t>sağlar. </w:t>
      </w:r>
      <w:r>
        <w:rPr>
          <w:color w:val="000009"/>
        </w:rPr>
        <w:t>Örneğin 50 günlük BHO, 250 günlük BHO’dan daha büyükse fiyatın artma, küçükse azalma eğiliminde olduğu kabul</w:t>
      </w:r>
      <w:r>
        <w:rPr>
          <w:color w:val="000009"/>
          <w:spacing w:val="-3"/>
        </w:rPr>
        <w:t> </w:t>
      </w:r>
      <w:r>
        <w:rPr>
          <w:color w:val="000009"/>
        </w:rPr>
        <w:t>edilebilir.</w:t>
      </w:r>
    </w:p>
    <w:p>
      <w:pPr>
        <w:pStyle w:val="BodyText"/>
        <w:spacing w:before="11"/>
        <w:rPr>
          <w:sz w:val="12"/>
        </w:rPr>
      </w:pPr>
      <w:r>
        <w:rPr/>
        <w:pict>
          <v:group style="position:absolute;margin-left:113.900002pt;margin-top:9.449284pt;width:414.7pt;height:68.5pt;mso-position-horizontal-relative:page;mso-position-vertical-relative:paragraph;z-index:1256;mso-wrap-distance-left:0;mso-wrap-distance-right:0" coordorigin="2278,189" coordsize="8294,1370">
            <v:line style="position:absolute" from="2278,190" to="10571,190" stroked="true" strokeweight=".05pt" strokecolor="#000000">
              <v:stroke dashstyle="solid"/>
            </v:line>
            <v:line style="position:absolute" from="10571,189" to="10571,1558" stroked="true" strokeweight=".05pt" strokecolor="#000000">
              <v:stroke dashstyle="solid"/>
            </v:line>
            <v:line style="position:absolute" from="10571,1558" to="2278,1558" stroked="true" strokeweight=".05pt" strokecolor="#000000">
              <v:stroke dashstyle="solid"/>
            </v:line>
            <v:line style="position:absolute" from="2279,1558" to="2279,189" stroked="true" strokeweight=".05pt" strokecolor="#000000">
              <v:stroke dashstyle="solid"/>
            </v:line>
            <v:shape style="position:absolute;left:2366;top:1207;width:7287;height:266" type="#_x0000_t202" filled="false" stroked="false">
              <v:textbox inset="0,0,0,0">
                <w:txbxContent>
                  <w:p>
                    <w:pPr>
                      <w:spacing w:line="266" w:lineRule="exact" w:before="0"/>
                      <w:ind w:left="0" w:right="0" w:firstLine="0"/>
                      <w:jc w:val="left"/>
                      <w:rPr>
                        <w:i/>
                        <w:sz w:val="24"/>
                      </w:rPr>
                    </w:pPr>
                    <w:r>
                      <w:rPr>
                        <w:i/>
                        <w:color w:val="000009"/>
                        <w:sz w:val="24"/>
                      </w:rPr>
                      <w:t>Basit Hareketli Ortalama formülü (g: hesaplanacak gün, n: BHO periyodu)</w:t>
                    </w:r>
                  </w:p>
                </w:txbxContent>
              </v:textbox>
              <w10:wrap type="none"/>
            </v:shape>
            <v:shape style="position:absolute;left:4024;top:762;width:256;height:163" type="#_x0000_t202" filled="false" stroked="false">
              <v:textbox inset="0,0,0,0">
                <w:txbxContent>
                  <w:p>
                    <w:pPr>
                      <w:spacing w:line="163" w:lineRule="exact" w:before="0"/>
                      <w:ind w:left="0" w:right="0" w:firstLine="0"/>
                      <w:jc w:val="left"/>
                      <w:rPr>
                        <w:sz w:val="14"/>
                      </w:rPr>
                    </w:pPr>
                    <w:r>
                      <w:rPr>
                        <w:i/>
                        <w:w w:val="110"/>
                        <w:sz w:val="14"/>
                      </w:rPr>
                      <w:t>i</w:t>
                    </w:r>
                    <w:r>
                      <w:rPr>
                        <w:rFonts w:ascii="Arial Black"/>
                        <w:w w:val="110"/>
                        <w:sz w:val="14"/>
                      </w:rPr>
                      <w:t>=</w:t>
                    </w:r>
                    <w:r>
                      <w:rPr>
                        <w:w w:val="110"/>
                        <w:sz w:val="14"/>
                      </w:rPr>
                      <w:t>0</w:t>
                    </w:r>
                  </w:p>
                </w:txbxContent>
              </v:textbox>
              <w10:wrap type="none"/>
            </v:shape>
            <v:shape style="position:absolute;left:3828;top:282;width:468;height:315" type="#_x0000_t202" filled="false" stroked="false">
              <v:textbox inset="0,0,0,0">
                <w:txbxContent>
                  <w:p>
                    <w:pPr>
                      <w:spacing w:line="136" w:lineRule="auto" w:before="14"/>
                      <w:ind w:left="0" w:right="0" w:firstLine="0"/>
                      <w:jc w:val="left"/>
                      <w:rPr>
                        <w:sz w:val="14"/>
                      </w:rPr>
                    </w:pPr>
                    <w:r>
                      <w:rPr>
                        <w:w w:val="105"/>
                        <w:position w:val="-12"/>
                        <w:sz w:val="24"/>
                        <w:u w:val="single"/>
                      </w:rPr>
                      <w:t>1</w:t>
                    </w:r>
                    <w:r>
                      <w:rPr>
                        <w:w w:val="105"/>
                        <w:position w:val="-12"/>
                        <w:sz w:val="24"/>
                      </w:rPr>
                      <w:t> </w:t>
                    </w:r>
                    <w:r>
                      <w:rPr>
                        <w:i/>
                        <w:w w:val="105"/>
                        <w:sz w:val="14"/>
                      </w:rPr>
                      <w:t>n</w:t>
                    </w:r>
                    <w:r>
                      <w:rPr>
                        <w:rFonts w:ascii="Arial Black" w:hAnsi="Arial Black"/>
                        <w:w w:val="105"/>
                        <w:sz w:val="14"/>
                      </w:rPr>
                      <w:t>−</w:t>
                    </w:r>
                    <w:r>
                      <w:rPr>
                        <w:w w:val="105"/>
                        <w:sz w:val="14"/>
                      </w:rPr>
                      <w:t>1</w:t>
                    </w:r>
                  </w:p>
                </w:txbxContent>
              </v:textbox>
              <w10:wrap type="none"/>
            </v:shape>
            <v:shape style="position:absolute;left:2538;top:444;width:2864;height:453" type="#_x0000_t202" filled="false" stroked="false">
              <v:textbox inset="0,0,0,0">
                <w:txbxContent>
                  <w:p>
                    <w:pPr>
                      <w:spacing w:line="146" w:lineRule="auto" w:before="0"/>
                      <w:ind w:left="0" w:right="0" w:firstLine="0"/>
                      <w:jc w:val="left"/>
                      <w:rPr>
                        <w:rFonts w:ascii="Arial Black" w:hAnsi="Arial Black"/>
                        <w:sz w:val="24"/>
                      </w:rPr>
                    </w:pPr>
                    <w:r>
                      <w:rPr>
                        <w:i/>
                        <w:sz w:val="24"/>
                      </w:rPr>
                      <w:t>BHO</w:t>
                    </w:r>
                    <w:r>
                      <w:rPr>
                        <w:i/>
                        <w:spacing w:val="-23"/>
                        <w:sz w:val="24"/>
                      </w:rPr>
                      <w:t> </w:t>
                    </w:r>
                    <w:r>
                      <w:rPr>
                        <w:rFonts w:ascii="Arial Black" w:hAnsi="Arial Black"/>
                        <w:sz w:val="24"/>
                      </w:rPr>
                      <w:t>(</w:t>
                    </w:r>
                    <w:r>
                      <w:rPr>
                        <w:rFonts w:ascii="Arial Black" w:hAnsi="Arial Black"/>
                        <w:spacing w:val="-54"/>
                        <w:sz w:val="24"/>
                      </w:rPr>
                      <w:t> </w:t>
                    </w:r>
                    <w:r>
                      <w:rPr>
                        <w:i/>
                        <w:sz w:val="24"/>
                      </w:rPr>
                      <w:t>g</w:t>
                    </w:r>
                    <w:r>
                      <w:rPr>
                        <w:i/>
                        <w:spacing w:val="-26"/>
                        <w:sz w:val="24"/>
                      </w:rPr>
                      <w:t> </w:t>
                    </w:r>
                    <w:r>
                      <w:rPr>
                        <w:i/>
                        <w:sz w:val="24"/>
                      </w:rPr>
                      <w:t>,</w:t>
                    </w:r>
                    <w:r>
                      <w:rPr>
                        <w:i/>
                        <w:spacing w:val="-26"/>
                        <w:sz w:val="24"/>
                      </w:rPr>
                      <w:t> </w:t>
                    </w:r>
                    <w:r>
                      <w:rPr>
                        <w:i/>
                        <w:spacing w:val="6"/>
                        <w:sz w:val="24"/>
                      </w:rPr>
                      <w:t>n</w:t>
                    </w:r>
                    <w:r>
                      <w:rPr>
                        <w:rFonts w:ascii="Arial Black" w:hAnsi="Arial Black"/>
                        <w:spacing w:val="6"/>
                        <w:sz w:val="24"/>
                      </w:rPr>
                      <w:t>)=</w:t>
                    </w:r>
                    <w:r>
                      <w:rPr>
                        <w:i/>
                        <w:spacing w:val="6"/>
                        <w:position w:val="-15"/>
                        <w:sz w:val="24"/>
                      </w:rPr>
                      <w:t>n</w:t>
                    </w:r>
                    <w:r>
                      <w:rPr>
                        <w:i/>
                        <w:spacing w:val="9"/>
                        <w:position w:val="-15"/>
                        <w:sz w:val="24"/>
                      </w:rPr>
                      <w:t> </w:t>
                    </w:r>
                    <w:r>
                      <w:rPr>
                        <w:rFonts w:ascii="Arial Black" w:hAnsi="Arial Black"/>
                        <w:position w:val="-2"/>
                        <w:sz w:val="35"/>
                      </w:rPr>
                      <w:t>∑</w:t>
                    </w:r>
                    <w:r>
                      <w:rPr>
                        <w:rFonts w:ascii="Arial Black" w:hAnsi="Arial Black"/>
                        <w:spacing w:val="-56"/>
                        <w:position w:val="-2"/>
                        <w:sz w:val="35"/>
                      </w:rPr>
                      <w:t> </w:t>
                    </w:r>
                    <w:r>
                      <w:rPr>
                        <w:i/>
                        <w:sz w:val="24"/>
                      </w:rPr>
                      <w:t>fiyat</w:t>
                    </w:r>
                    <w:r>
                      <w:rPr>
                        <w:i/>
                        <w:spacing w:val="-29"/>
                        <w:sz w:val="24"/>
                      </w:rPr>
                      <w:t> </w:t>
                    </w:r>
                    <w:r>
                      <w:rPr>
                        <w:rFonts w:ascii="Arial Black" w:hAnsi="Arial Black"/>
                        <w:sz w:val="24"/>
                      </w:rPr>
                      <w:t>(</w:t>
                    </w:r>
                    <w:r>
                      <w:rPr>
                        <w:rFonts w:ascii="Arial Black" w:hAnsi="Arial Black"/>
                        <w:spacing w:val="-55"/>
                        <w:sz w:val="24"/>
                      </w:rPr>
                      <w:t> </w:t>
                    </w:r>
                    <w:r>
                      <w:rPr>
                        <w:i/>
                        <w:spacing w:val="7"/>
                        <w:sz w:val="24"/>
                      </w:rPr>
                      <w:t>g</w:t>
                    </w:r>
                    <w:r>
                      <w:rPr>
                        <w:rFonts w:ascii="Arial Black" w:hAnsi="Arial Black"/>
                        <w:spacing w:val="7"/>
                        <w:sz w:val="24"/>
                      </w:rPr>
                      <w:t>−</w:t>
                    </w:r>
                    <w:r>
                      <w:rPr>
                        <w:i/>
                        <w:spacing w:val="7"/>
                        <w:sz w:val="24"/>
                      </w:rPr>
                      <w:t>i</w:t>
                    </w:r>
                    <w:r>
                      <w:rPr>
                        <w:rFonts w:ascii="Arial Black" w:hAnsi="Arial Black"/>
                        <w:spacing w:val="7"/>
                        <w:sz w:val="24"/>
                      </w:rPr>
                      <w:t>)</w:t>
                    </w:r>
                  </w:p>
                </w:txbxContent>
              </v:textbox>
              <w10:wrap type="none"/>
            </v:shape>
            <w10:wrap type="topAndBottom"/>
          </v:group>
        </w:pict>
      </w:r>
    </w:p>
    <w:p>
      <w:pPr>
        <w:pStyle w:val="BodyText"/>
        <w:rPr>
          <w:sz w:val="26"/>
        </w:rPr>
      </w:pPr>
    </w:p>
    <w:p>
      <w:pPr>
        <w:pStyle w:val="BodyText"/>
        <w:spacing w:before="2"/>
        <w:rPr>
          <w:sz w:val="26"/>
        </w:rPr>
      </w:pPr>
    </w:p>
    <w:p>
      <w:pPr>
        <w:pStyle w:val="BodyText"/>
        <w:spacing w:line="360" w:lineRule="auto" w:before="1"/>
        <w:ind w:left="590" w:right="1424"/>
        <w:jc w:val="both"/>
      </w:pPr>
      <w:r>
        <w:rPr>
          <w:color w:val="000009"/>
        </w:rPr>
        <w:t>Bu çalışmada varlığın günlük değerinin 10, 20 ve 50 günlük basit hareketli ortalama değerlerine oranı hesaplanarak YSA’nın fiyat eğilimini kullanması sağlanmıştır.</w:t>
      </w:r>
    </w:p>
    <w:p>
      <w:pPr>
        <w:pStyle w:val="BodyText"/>
        <w:spacing w:before="3"/>
        <w:rPr>
          <w:sz w:val="31"/>
        </w:rPr>
      </w:pPr>
    </w:p>
    <w:p>
      <w:pPr>
        <w:pStyle w:val="Heading2"/>
        <w:numPr>
          <w:ilvl w:val="2"/>
          <w:numId w:val="1"/>
        </w:numPr>
        <w:tabs>
          <w:tab w:pos="1698" w:val="left" w:leader="none"/>
        </w:tabs>
        <w:spacing w:line="240" w:lineRule="auto" w:before="0" w:after="0"/>
        <w:ind w:left="1698" w:right="0" w:hanging="540"/>
        <w:jc w:val="left"/>
      </w:pPr>
      <w:r>
        <w:rPr>
          <w:color w:val="000009"/>
        </w:rPr>
        <w:t>Standart</w:t>
      </w:r>
      <w:r>
        <w:rPr>
          <w:color w:val="000009"/>
          <w:spacing w:val="-1"/>
        </w:rPr>
        <w:t> </w:t>
      </w:r>
      <w:r>
        <w:rPr>
          <w:color w:val="000009"/>
        </w:rPr>
        <w:t>Sapma</w:t>
      </w:r>
    </w:p>
    <w:p>
      <w:pPr>
        <w:pStyle w:val="BodyText"/>
        <w:spacing w:before="10"/>
        <w:rPr>
          <w:b/>
          <w:sz w:val="32"/>
        </w:rPr>
      </w:pPr>
    </w:p>
    <w:p>
      <w:pPr>
        <w:pStyle w:val="BodyText"/>
        <w:spacing w:line="360" w:lineRule="auto"/>
        <w:ind w:left="590" w:right="1419"/>
        <w:jc w:val="both"/>
      </w:pPr>
      <w:r>
        <w:rPr>
          <w:color w:val="000009"/>
        </w:rPr>
        <w:t>Opsiyon fiyatlarını en çok etkileyen etmenlerden biri de varlığın fiyatının oynaklığıdır. Oynaklık arttıkça opsiyonun kullanılma ihtimali de arttığı için sözleşme fiyatı da artmaktadır. Bu nedenle geliştirilen modelin bunu da hesaba katabilmesi</w:t>
      </w:r>
      <w:r>
        <w:rPr>
          <w:color w:val="000009"/>
          <w:spacing w:val="-31"/>
        </w:rPr>
        <w:t> </w:t>
      </w:r>
      <w:r>
        <w:rPr>
          <w:color w:val="000009"/>
        </w:rPr>
        <w:t>için 5, 10, 20 ve 40 günlük standart sapma değerleri girdiye</w:t>
      </w:r>
      <w:r>
        <w:rPr>
          <w:color w:val="000009"/>
          <w:spacing w:val="-5"/>
        </w:rPr>
        <w:t> </w:t>
      </w:r>
      <w:r>
        <w:rPr>
          <w:color w:val="000009"/>
        </w:rPr>
        <w:t>katılmıştır.</w:t>
      </w:r>
    </w:p>
    <w:p>
      <w:pPr>
        <w:pStyle w:val="BodyText"/>
        <w:spacing w:before="4"/>
        <w:rPr>
          <w:sz w:val="31"/>
        </w:rPr>
      </w:pPr>
    </w:p>
    <w:p>
      <w:pPr>
        <w:pStyle w:val="Heading2"/>
        <w:numPr>
          <w:ilvl w:val="2"/>
          <w:numId w:val="1"/>
        </w:numPr>
        <w:tabs>
          <w:tab w:pos="1698" w:val="left" w:leader="none"/>
        </w:tabs>
        <w:spacing w:line="240" w:lineRule="auto" w:before="0" w:after="0"/>
        <w:ind w:left="1698" w:right="0" w:hanging="540"/>
        <w:jc w:val="left"/>
      </w:pPr>
      <w:r>
        <w:rPr>
          <w:color w:val="000009"/>
        </w:rPr>
        <w:t>Relative Strength Index (Bağıl Güç Endeksi,</w:t>
      </w:r>
      <w:r>
        <w:rPr>
          <w:color w:val="000009"/>
          <w:spacing w:val="-1"/>
        </w:rPr>
        <w:t> </w:t>
      </w:r>
      <w:r>
        <w:rPr>
          <w:color w:val="000009"/>
        </w:rPr>
        <w:t>RSI)</w:t>
      </w:r>
    </w:p>
    <w:p>
      <w:pPr>
        <w:pStyle w:val="BodyText"/>
        <w:spacing w:before="10"/>
        <w:rPr>
          <w:b/>
          <w:sz w:val="32"/>
        </w:rPr>
      </w:pPr>
    </w:p>
    <w:p>
      <w:pPr>
        <w:pStyle w:val="BodyText"/>
        <w:spacing w:line="360" w:lineRule="auto"/>
        <w:ind w:left="590" w:right="1417"/>
        <w:jc w:val="both"/>
      </w:pPr>
      <w:r>
        <w:rPr>
          <w:color w:val="000009"/>
        </w:rPr>
        <w:t>Bağıl Güç Endeksi verilen gün ve periyot için 0 ile 100 arasında bir değer </w:t>
      </w:r>
      <w:r>
        <w:rPr>
          <w:color w:val="000009"/>
          <w:spacing w:val="-3"/>
        </w:rPr>
        <w:t>üretir. </w:t>
      </w:r>
      <w:r>
        <w:rPr>
          <w:color w:val="000009"/>
        </w:rPr>
        <w:t>Bu değer 100’e ne kadar yakınsa verilen periyot içinde fiyatın o kadar çok arttığını ve yakında azalacağını, 0’a ne kadar yakınsa fiyatın o kadar çok azaldığını ve yakında artışa geçeceğini belirtir. En çok kullanılan halinde 14 günlük değeri hesaplanır, 80’in üzerindeyse satış, 20’nin altındaysa alım yapılır.</w:t>
      </w:r>
    </w:p>
    <w:p>
      <w:pPr>
        <w:spacing w:after="0" w:line="360" w:lineRule="auto"/>
        <w:jc w:val="both"/>
        <w:sectPr>
          <w:pgSz w:w="11910" w:h="16840"/>
          <w:pgMar w:header="0" w:footer="1050" w:top="1340" w:bottom="1240" w:left="1680" w:right="0"/>
        </w:sectPr>
      </w:pPr>
    </w:p>
    <w:p>
      <w:pPr>
        <w:pStyle w:val="BodyText"/>
        <w:ind w:left="629"/>
        <w:rPr>
          <w:sz w:val="20"/>
        </w:rPr>
      </w:pPr>
      <w:r>
        <w:rPr>
          <w:sz w:val="20"/>
        </w:rPr>
        <w:pict>
          <v:group style="width:406.3pt;height:183.8pt;mso-position-horizontal-relative:char;mso-position-vertical-relative:line" coordorigin="0,0" coordsize="8126,3676">
            <v:line style="position:absolute" from="0,1" to="8125,1" stroked="true" strokeweight=".05pt" strokecolor="#000000">
              <v:stroke dashstyle="solid"/>
            </v:line>
            <v:line style="position:absolute" from="8125,0" to="8125,3675" stroked="true" strokeweight=".05pt" strokecolor="#000000">
              <v:stroke dashstyle="solid"/>
            </v:line>
            <v:line style="position:absolute" from="8125,3675" to="0,3675" stroked="true" strokeweight=".05pt" strokecolor="#000000">
              <v:stroke dashstyle="solid"/>
            </v:line>
            <v:line style="position:absolute" from="1,3675" to="1,0" stroked="true" strokeweight=".05pt" strokecolor="#000000">
              <v:stroke dashstyle="solid"/>
            </v:line>
            <v:shape style="position:absolute;left:88;top:3324;width:5126;height:266" type="#_x0000_t202" filled="false" stroked="false">
              <v:textbox inset="0,0,0,0">
                <w:txbxContent>
                  <w:p>
                    <w:pPr>
                      <w:spacing w:line="266" w:lineRule="exact" w:before="0"/>
                      <w:ind w:left="0" w:right="0" w:firstLine="0"/>
                      <w:jc w:val="left"/>
                      <w:rPr>
                        <w:i/>
                        <w:sz w:val="24"/>
                      </w:rPr>
                    </w:pPr>
                    <w:r>
                      <w:rPr>
                        <w:i/>
                        <w:color w:val="000009"/>
                        <w:sz w:val="24"/>
                      </w:rPr>
                      <w:t>RSI Formülü (g: hesaplanacak gün, n: RSI periyodu)</w:t>
                    </w:r>
                  </w:p>
                </w:txbxContent>
              </v:textbox>
              <w10:wrap type="none"/>
            </v:shape>
            <v:shape style="position:absolute;left:276;top:2642;width:2788;height:271" type="#_x0000_t202" filled="false" stroked="false">
              <v:textbox inset="0,0,0,0">
                <w:txbxContent>
                  <w:p>
                    <w:pPr>
                      <w:spacing w:line="271" w:lineRule="exact" w:before="0"/>
                      <w:ind w:left="0" w:right="0" w:firstLine="0"/>
                      <w:jc w:val="left"/>
                      <w:rPr>
                        <w:rFonts w:ascii="Arial Black" w:hAnsi="Arial Black"/>
                        <w:sz w:val="24"/>
                      </w:rPr>
                    </w:pPr>
                    <w:r>
                      <w:rPr>
                        <w:i/>
                        <w:spacing w:val="9"/>
                        <w:sz w:val="24"/>
                      </w:rPr>
                      <w:t>F</w:t>
                    </w:r>
                    <w:r>
                      <w:rPr>
                        <w:rFonts w:ascii="Arial Black" w:hAnsi="Arial Black"/>
                        <w:spacing w:val="9"/>
                        <w:sz w:val="24"/>
                      </w:rPr>
                      <w:t>(</w:t>
                    </w:r>
                    <w:r>
                      <w:rPr>
                        <w:rFonts w:ascii="Arial Black" w:hAnsi="Arial Black"/>
                        <w:spacing w:val="-53"/>
                        <w:sz w:val="24"/>
                      </w:rPr>
                      <w:t> </w:t>
                    </w:r>
                    <w:r>
                      <w:rPr>
                        <w:i/>
                        <w:spacing w:val="3"/>
                        <w:sz w:val="24"/>
                      </w:rPr>
                      <w:t>g</w:t>
                    </w:r>
                    <w:r>
                      <w:rPr>
                        <w:rFonts w:ascii="Arial Black" w:hAnsi="Arial Black"/>
                        <w:spacing w:val="3"/>
                        <w:sz w:val="24"/>
                      </w:rPr>
                      <w:t>)=</w:t>
                    </w:r>
                    <w:r>
                      <w:rPr>
                        <w:i/>
                        <w:spacing w:val="3"/>
                        <w:sz w:val="24"/>
                      </w:rPr>
                      <w:t>fiyat</w:t>
                    </w:r>
                    <w:r>
                      <w:rPr>
                        <w:i/>
                        <w:spacing w:val="-14"/>
                        <w:sz w:val="24"/>
                      </w:rPr>
                      <w:t> </w:t>
                    </w:r>
                    <w:r>
                      <w:rPr>
                        <w:rFonts w:ascii="Arial Black" w:hAnsi="Arial Black"/>
                        <w:sz w:val="24"/>
                      </w:rPr>
                      <w:t>(</w:t>
                    </w:r>
                    <w:r>
                      <w:rPr>
                        <w:rFonts w:ascii="Arial Black" w:hAnsi="Arial Black"/>
                        <w:spacing w:val="-55"/>
                        <w:sz w:val="24"/>
                      </w:rPr>
                      <w:t> </w:t>
                    </w:r>
                    <w:r>
                      <w:rPr>
                        <w:i/>
                        <w:spacing w:val="3"/>
                        <w:sz w:val="24"/>
                      </w:rPr>
                      <w:t>g</w:t>
                    </w:r>
                    <w:r>
                      <w:rPr>
                        <w:rFonts w:ascii="Arial Black" w:hAnsi="Arial Black"/>
                        <w:spacing w:val="3"/>
                        <w:sz w:val="24"/>
                      </w:rPr>
                      <w:t>)−</w:t>
                    </w:r>
                    <w:r>
                      <w:rPr>
                        <w:i/>
                        <w:spacing w:val="3"/>
                        <w:sz w:val="24"/>
                      </w:rPr>
                      <w:t>fiyat</w:t>
                    </w:r>
                    <w:r>
                      <w:rPr>
                        <w:i/>
                        <w:spacing w:val="-34"/>
                        <w:sz w:val="24"/>
                      </w:rPr>
                      <w:t> </w:t>
                    </w:r>
                    <w:r>
                      <w:rPr>
                        <w:rFonts w:ascii="Arial Black" w:hAnsi="Arial Black"/>
                        <w:sz w:val="24"/>
                      </w:rPr>
                      <w:t>(</w:t>
                    </w:r>
                    <w:r>
                      <w:rPr>
                        <w:rFonts w:ascii="Arial Black" w:hAnsi="Arial Black"/>
                        <w:spacing w:val="-53"/>
                        <w:sz w:val="24"/>
                      </w:rPr>
                      <w:t> </w:t>
                    </w:r>
                    <w:r>
                      <w:rPr>
                        <w:i/>
                        <w:spacing w:val="5"/>
                        <w:sz w:val="24"/>
                      </w:rPr>
                      <w:t>g</w:t>
                    </w:r>
                    <w:r>
                      <w:rPr>
                        <w:rFonts w:ascii="Arial Black" w:hAnsi="Arial Black"/>
                        <w:spacing w:val="5"/>
                        <w:sz w:val="24"/>
                      </w:rPr>
                      <w:t>−</w:t>
                    </w:r>
                    <w:r>
                      <w:rPr>
                        <w:spacing w:val="5"/>
                        <w:sz w:val="24"/>
                      </w:rPr>
                      <w:t>1</w:t>
                    </w:r>
                    <w:r>
                      <w:rPr>
                        <w:rFonts w:ascii="Arial Black" w:hAnsi="Arial Black"/>
                        <w:spacing w:val="5"/>
                        <w:sz w:val="24"/>
                      </w:rPr>
                      <w:t>)</w:t>
                    </w:r>
                  </w:p>
                </w:txbxContent>
              </v:textbox>
              <w10:wrap type="none"/>
            </v:shape>
            <v:shape style="position:absolute;left:2422;top:2330;width:764;height:266" type="#_x0000_t202" filled="false" stroked="false">
              <v:textbox inset="0,0,0,0">
                <w:txbxContent>
                  <w:p>
                    <w:pPr>
                      <w:spacing w:line="266" w:lineRule="exact" w:before="0"/>
                      <w:ind w:left="0" w:right="0" w:firstLine="0"/>
                      <w:jc w:val="left"/>
                      <w:rPr>
                        <w:i/>
                        <w:sz w:val="24"/>
                      </w:rPr>
                    </w:pPr>
                    <w:r>
                      <w:rPr>
                        <w:sz w:val="24"/>
                      </w:rPr>
                      <w:t>0</w:t>
                    </w:r>
                    <w:r>
                      <w:rPr>
                        <w:spacing w:val="-34"/>
                        <w:sz w:val="24"/>
                      </w:rPr>
                      <w:t> </w:t>
                    </w:r>
                    <w:r>
                      <w:rPr>
                        <w:i/>
                        <w:sz w:val="24"/>
                      </w:rPr>
                      <w:t>,</w:t>
                    </w:r>
                    <w:r>
                      <w:rPr>
                        <w:i/>
                        <w:spacing w:val="-31"/>
                        <w:sz w:val="24"/>
                      </w:rPr>
                      <w:t> </w:t>
                    </w:r>
                    <w:r>
                      <w:rPr>
                        <w:i/>
                        <w:sz w:val="24"/>
                      </w:rPr>
                      <w:t>diğer</w:t>
                    </w:r>
                  </w:p>
                </w:txbxContent>
              </v:textbox>
              <w10:wrap type="none"/>
            </v:shape>
            <v:shape style="position:absolute;left:1566;top:2044;width:2460;height:271" type="#_x0000_t202" filled="false" stroked="false">
              <v:textbox inset="0,0,0,0">
                <w:txbxContent>
                  <w:p>
                    <w:pPr>
                      <w:spacing w:line="271" w:lineRule="exact" w:before="0"/>
                      <w:ind w:left="0" w:right="0" w:firstLine="0"/>
                      <w:jc w:val="left"/>
                      <w:rPr>
                        <w:i/>
                        <w:sz w:val="24"/>
                      </w:rPr>
                    </w:pPr>
                    <w:r>
                      <w:rPr>
                        <w:rFonts w:ascii="Arial Black" w:hAnsi="Arial Black"/>
                        <w:spacing w:val="10"/>
                        <w:sz w:val="24"/>
                      </w:rPr>
                      <w:t>−</w:t>
                    </w:r>
                    <w:r>
                      <w:rPr>
                        <w:i/>
                        <w:spacing w:val="10"/>
                        <w:sz w:val="24"/>
                      </w:rPr>
                      <w:t>F</w:t>
                    </w:r>
                    <w:r>
                      <w:rPr>
                        <w:i/>
                        <w:spacing w:val="-23"/>
                        <w:sz w:val="24"/>
                      </w:rPr>
                      <w:t> </w:t>
                    </w:r>
                    <w:r>
                      <w:rPr>
                        <w:rFonts w:ascii="Arial Black" w:hAnsi="Arial Black"/>
                        <w:sz w:val="24"/>
                      </w:rPr>
                      <w:t>(</w:t>
                    </w:r>
                    <w:r>
                      <w:rPr>
                        <w:rFonts w:ascii="Arial Black" w:hAnsi="Arial Black"/>
                        <w:spacing w:val="-56"/>
                        <w:sz w:val="24"/>
                      </w:rPr>
                      <w:t> </w:t>
                    </w:r>
                    <w:r>
                      <w:rPr>
                        <w:i/>
                        <w:spacing w:val="2"/>
                        <w:sz w:val="24"/>
                      </w:rPr>
                      <w:t>g</w:t>
                    </w:r>
                    <w:r>
                      <w:rPr>
                        <w:rFonts w:ascii="Arial Black" w:hAnsi="Arial Black"/>
                        <w:spacing w:val="2"/>
                        <w:sz w:val="24"/>
                      </w:rPr>
                      <w:t>−</w:t>
                    </w:r>
                    <w:r>
                      <w:rPr>
                        <w:i/>
                        <w:spacing w:val="2"/>
                        <w:sz w:val="24"/>
                      </w:rPr>
                      <w:t>i</w:t>
                    </w:r>
                    <w:r>
                      <w:rPr>
                        <w:i/>
                        <w:spacing w:val="-34"/>
                        <w:sz w:val="24"/>
                      </w:rPr>
                      <w:t> </w:t>
                    </w:r>
                    <w:r>
                      <w:rPr>
                        <w:rFonts w:ascii="Arial Black" w:hAnsi="Arial Black"/>
                        <w:sz w:val="24"/>
                      </w:rPr>
                      <w:t>)</w:t>
                    </w:r>
                    <w:r>
                      <w:rPr>
                        <w:rFonts w:ascii="Arial Black" w:hAnsi="Arial Black"/>
                        <w:spacing w:val="-56"/>
                        <w:sz w:val="24"/>
                      </w:rPr>
                      <w:t> </w:t>
                    </w:r>
                    <w:r>
                      <w:rPr>
                        <w:i/>
                        <w:sz w:val="24"/>
                      </w:rPr>
                      <w:t>,</w:t>
                    </w:r>
                    <w:r>
                      <w:rPr>
                        <w:i/>
                        <w:spacing w:val="-27"/>
                        <w:sz w:val="24"/>
                      </w:rPr>
                      <w:t> </w:t>
                    </w:r>
                    <w:r>
                      <w:rPr>
                        <w:i/>
                        <w:sz w:val="24"/>
                      </w:rPr>
                      <w:t>F</w:t>
                    </w:r>
                    <w:r>
                      <w:rPr>
                        <w:i/>
                        <w:spacing w:val="-20"/>
                        <w:sz w:val="24"/>
                      </w:rPr>
                      <w:t> </w:t>
                    </w:r>
                    <w:r>
                      <w:rPr>
                        <w:rFonts w:ascii="Arial Black" w:hAnsi="Arial Black"/>
                        <w:sz w:val="24"/>
                      </w:rPr>
                      <w:t>(</w:t>
                    </w:r>
                    <w:r>
                      <w:rPr>
                        <w:rFonts w:ascii="Arial Black" w:hAnsi="Arial Black"/>
                        <w:spacing w:val="-56"/>
                        <w:sz w:val="24"/>
                      </w:rPr>
                      <w:t> </w:t>
                    </w:r>
                    <w:r>
                      <w:rPr>
                        <w:i/>
                        <w:sz w:val="24"/>
                      </w:rPr>
                      <w:t>g</w:t>
                    </w:r>
                    <w:r>
                      <w:rPr>
                        <w:rFonts w:ascii="Arial Black" w:hAnsi="Arial Black"/>
                        <w:sz w:val="24"/>
                      </w:rPr>
                      <w:t>−</w:t>
                    </w:r>
                    <w:r>
                      <w:rPr>
                        <w:i/>
                        <w:sz w:val="24"/>
                      </w:rPr>
                      <w:t>i</w:t>
                    </w:r>
                    <w:r>
                      <w:rPr>
                        <w:i/>
                        <w:spacing w:val="-37"/>
                        <w:sz w:val="24"/>
                      </w:rPr>
                      <w:t> </w:t>
                    </w:r>
                    <w:r>
                      <w:rPr>
                        <w:rFonts w:ascii="Arial Black" w:hAnsi="Arial Black"/>
                        <w:spacing w:val="6"/>
                        <w:sz w:val="24"/>
                      </w:rPr>
                      <w:t>)&lt;</w:t>
                    </w:r>
                    <w:r>
                      <w:rPr>
                        <w:spacing w:val="6"/>
                        <w:sz w:val="24"/>
                      </w:rPr>
                      <w:t>0</w:t>
                    </w:r>
                    <w:r>
                      <w:rPr>
                        <w:spacing w:val="-27"/>
                        <w:sz w:val="24"/>
                      </w:rPr>
                      <w:t> </w:t>
                    </w:r>
                    <w:r>
                      <w:rPr>
                        <w:i/>
                        <w:sz w:val="24"/>
                      </w:rPr>
                      <w:t>ise</w:t>
                    </w:r>
                  </w:p>
                </w:txbxContent>
              </v:textbox>
              <w10:wrap type="none"/>
            </v:shape>
            <v:shape style="position:absolute;left:1490;top:2041;width:114;height:580" type="#_x0000_t202" filled="false" stroked="false">
              <v:textbox inset="0,0,0,0">
                <w:txbxContent>
                  <w:p>
                    <w:pPr>
                      <w:spacing w:line="580" w:lineRule="exact" w:before="0"/>
                      <w:ind w:left="0" w:right="0" w:firstLine="0"/>
                      <w:jc w:val="left"/>
                      <w:rPr>
                        <w:rFonts w:ascii="Arial Black"/>
                        <w:sz w:val="58"/>
                      </w:rPr>
                    </w:pPr>
                    <w:r>
                      <w:rPr>
                        <w:rFonts w:ascii="Arial Black"/>
                        <w:w w:val="41"/>
                        <w:sz w:val="58"/>
                      </w:rPr>
                      <w:t>{</w:t>
                    </w:r>
                  </w:p>
                </w:txbxContent>
              </v:textbox>
              <w10:wrap type="none"/>
            </v:shape>
            <v:shape style="position:absolute;left:1190;top:2445;width:258;height:163" type="#_x0000_t202" filled="false" stroked="false">
              <v:textbox inset="0,0,0,0">
                <w:txbxContent>
                  <w:p>
                    <w:pPr>
                      <w:spacing w:line="163" w:lineRule="exact" w:before="0"/>
                      <w:ind w:left="0" w:right="0" w:firstLine="0"/>
                      <w:jc w:val="left"/>
                      <w:rPr>
                        <w:sz w:val="14"/>
                      </w:rPr>
                    </w:pPr>
                    <w:r>
                      <w:rPr>
                        <w:i/>
                        <w:w w:val="110"/>
                        <w:sz w:val="14"/>
                      </w:rPr>
                      <w:t>i</w:t>
                    </w:r>
                    <w:r>
                      <w:rPr>
                        <w:rFonts w:ascii="Arial Black"/>
                        <w:w w:val="110"/>
                        <w:sz w:val="14"/>
                      </w:rPr>
                      <w:t>=</w:t>
                    </w:r>
                    <w:r>
                      <w:rPr>
                        <w:w w:val="110"/>
                        <w:sz w:val="14"/>
                      </w:rPr>
                      <w:t>0</w:t>
                    </w:r>
                  </w:p>
                </w:txbxContent>
              </v:textbox>
              <w10:wrap type="none"/>
            </v:shape>
            <v:shape style="position:absolute;left:260;top:1773;width:1234;height:704" type="#_x0000_t202" filled="false" stroked="false">
              <v:textbox inset="0,0,0,0">
                <w:txbxContent>
                  <w:p>
                    <w:pPr>
                      <w:spacing w:line="169" w:lineRule="exact" w:before="0"/>
                      <w:ind w:left="0" w:right="18" w:firstLine="0"/>
                      <w:jc w:val="right"/>
                      <w:rPr>
                        <w:sz w:val="14"/>
                      </w:rPr>
                    </w:pPr>
                    <w:r>
                      <w:rPr>
                        <w:i/>
                        <w:spacing w:val="3"/>
                        <w:w w:val="110"/>
                        <w:sz w:val="14"/>
                      </w:rPr>
                      <w:t>i</w:t>
                    </w:r>
                    <w:r>
                      <w:rPr>
                        <w:rFonts w:ascii="Arial Black"/>
                        <w:spacing w:val="3"/>
                        <w:w w:val="110"/>
                        <w:sz w:val="14"/>
                      </w:rPr>
                      <w:t>=</w:t>
                    </w:r>
                    <w:r>
                      <w:rPr>
                        <w:spacing w:val="3"/>
                        <w:w w:val="110"/>
                        <w:sz w:val="14"/>
                      </w:rPr>
                      <w:t>0</w:t>
                    </w:r>
                  </w:p>
                  <w:p>
                    <w:pPr>
                      <w:spacing w:line="130" w:lineRule="exact" w:before="0"/>
                      <w:ind w:left="0" w:right="50" w:firstLine="0"/>
                      <w:jc w:val="right"/>
                      <w:rPr>
                        <w:sz w:val="14"/>
                      </w:rPr>
                    </w:pPr>
                    <w:r>
                      <w:rPr>
                        <w:i/>
                        <w:spacing w:val="1"/>
                        <w:w w:val="110"/>
                        <w:sz w:val="14"/>
                      </w:rPr>
                      <w:t>n</w:t>
                    </w:r>
                    <w:r>
                      <w:rPr>
                        <w:rFonts w:ascii="Arial Black" w:hAnsi="Arial Black"/>
                        <w:spacing w:val="1"/>
                        <w:w w:val="110"/>
                        <w:sz w:val="14"/>
                      </w:rPr>
                      <w:t>−</w:t>
                    </w:r>
                    <w:r>
                      <w:rPr>
                        <w:spacing w:val="1"/>
                        <w:w w:val="110"/>
                        <w:sz w:val="14"/>
                      </w:rPr>
                      <w:t>1</w:t>
                    </w:r>
                  </w:p>
                  <w:p>
                    <w:pPr>
                      <w:spacing w:line="404" w:lineRule="exact" w:before="0"/>
                      <w:ind w:left="0" w:right="39" w:firstLine="0"/>
                      <w:jc w:val="right"/>
                      <w:rPr>
                        <w:rFonts w:ascii="Arial Black" w:hAnsi="Arial Black"/>
                        <w:sz w:val="35"/>
                      </w:rPr>
                    </w:pPr>
                    <w:r>
                      <w:rPr>
                        <w:i/>
                        <w:sz w:val="24"/>
                      </w:rPr>
                      <w:t>Z</w:t>
                    </w:r>
                    <w:r>
                      <w:rPr>
                        <w:i/>
                        <w:spacing w:val="-18"/>
                        <w:sz w:val="24"/>
                      </w:rPr>
                      <w:t> </w:t>
                    </w:r>
                    <w:r>
                      <w:rPr>
                        <w:rFonts w:ascii="Arial Black" w:hAnsi="Arial Black"/>
                        <w:sz w:val="24"/>
                      </w:rPr>
                      <w:t>(</w:t>
                    </w:r>
                    <w:r>
                      <w:rPr>
                        <w:rFonts w:ascii="Arial Black" w:hAnsi="Arial Black"/>
                        <w:spacing w:val="-51"/>
                        <w:sz w:val="24"/>
                      </w:rPr>
                      <w:t> </w:t>
                    </w:r>
                    <w:r>
                      <w:rPr>
                        <w:i/>
                        <w:sz w:val="24"/>
                      </w:rPr>
                      <w:t>g</w:t>
                    </w:r>
                    <w:r>
                      <w:rPr>
                        <w:i/>
                        <w:spacing w:val="-21"/>
                        <w:sz w:val="24"/>
                      </w:rPr>
                      <w:t> </w:t>
                    </w:r>
                    <w:r>
                      <w:rPr>
                        <w:i/>
                        <w:sz w:val="24"/>
                      </w:rPr>
                      <w:t>,</w:t>
                    </w:r>
                    <w:r>
                      <w:rPr>
                        <w:i/>
                        <w:spacing w:val="-21"/>
                        <w:sz w:val="24"/>
                      </w:rPr>
                      <w:t> </w:t>
                    </w:r>
                    <w:r>
                      <w:rPr>
                        <w:i/>
                        <w:spacing w:val="3"/>
                        <w:sz w:val="24"/>
                      </w:rPr>
                      <w:t>n</w:t>
                    </w:r>
                    <w:r>
                      <w:rPr>
                        <w:rFonts w:ascii="Arial Black" w:hAnsi="Arial Black"/>
                        <w:spacing w:val="3"/>
                        <w:sz w:val="24"/>
                      </w:rPr>
                      <w:t>)=</w:t>
                    </w:r>
                    <w:r>
                      <w:rPr>
                        <w:rFonts w:ascii="Arial Black" w:hAnsi="Arial Black"/>
                        <w:spacing w:val="3"/>
                        <w:position w:val="-2"/>
                        <w:sz w:val="35"/>
                      </w:rPr>
                      <w:t>∑</w:t>
                    </w:r>
                  </w:p>
                </w:txbxContent>
              </v:textbox>
              <w10:wrap type="none"/>
            </v:shape>
            <v:shape style="position:absolute;left:1642;top:1372;width:2237;height:552" type="#_x0000_t202" filled="false" stroked="false">
              <v:textbox inset="0,0,0,0">
                <w:txbxContent>
                  <w:p>
                    <w:pPr>
                      <w:spacing w:line="282" w:lineRule="exact" w:before="0"/>
                      <w:ind w:left="0" w:right="18" w:firstLine="0"/>
                      <w:jc w:val="center"/>
                      <w:rPr>
                        <w:i/>
                        <w:sz w:val="24"/>
                      </w:rPr>
                    </w:pPr>
                    <w:r>
                      <w:rPr>
                        <w:i/>
                        <w:spacing w:val="9"/>
                        <w:sz w:val="24"/>
                      </w:rPr>
                      <w:t>F</w:t>
                    </w:r>
                    <w:r>
                      <w:rPr>
                        <w:rFonts w:ascii="Arial Black" w:hAnsi="Arial Black"/>
                        <w:spacing w:val="9"/>
                        <w:sz w:val="24"/>
                      </w:rPr>
                      <w:t>(</w:t>
                    </w:r>
                    <w:r>
                      <w:rPr>
                        <w:rFonts w:ascii="Arial Black" w:hAnsi="Arial Black"/>
                        <w:spacing w:val="-57"/>
                        <w:sz w:val="24"/>
                      </w:rPr>
                      <w:t> </w:t>
                    </w:r>
                    <w:r>
                      <w:rPr>
                        <w:i/>
                        <w:spacing w:val="6"/>
                        <w:sz w:val="24"/>
                      </w:rPr>
                      <w:t>g</w:t>
                    </w:r>
                    <w:r>
                      <w:rPr>
                        <w:rFonts w:ascii="Arial Black" w:hAnsi="Arial Black"/>
                        <w:spacing w:val="6"/>
                        <w:sz w:val="24"/>
                      </w:rPr>
                      <w:t>−</w:t>
                    </w:r>
                    <w:r>
                      <w:rPr>
                        <w:i/>
                        <w:spacing w:val="6"/>
                        <w:sz w:val="24"/>
                      </w:rPr>
                      <w:t>i</w:t>
                    </w:r>
                    <w:r>
                      <w:rPr>
                        <w:rFonts w:ascii="Arial Black" w:hAnsi="Arial Black"/>
                        <w:spacing w:val="6"/>
                        <w:sz w:val="24"/>
                      </w:rPr>
                      <w:t>)</w:t>
                    </w:r>
                    <w:r>
                      <w:rPr>
                        <w:rFonts w:ascii="Arial Black" w:hAnsi="Arial Black"/>
                        <w:spacing w:val="-57"/>
                        <w:sz w:val="24"/>
                      </w:rPr>
                      <w:t> </w:t>
                    </w:r>
                    <w:r>
                      <w:rPr>
                        <w:i/>
                        <w:sz w:val="24"/>
                      </w:rPr>
                      <w:t>,</w:t>
                    </w:r>
                    <w:r>
                      <w:rPr>
                        <w:i/>
                        <w:spacing w:val="-17"/>
                        <w:sz w:val="24"/>
                      </w:rPr>
                      <w:t> </w:t>
                    </w:r>
                    <w:r>
                      <w:rPr>
                        <w:i/>
                        <w:spacing w:val="10"/>
                        <w:sz w:val="24"/>
                      </w:rPr>
                      <w:t>F</w:t>
                    </w:r>
                    <w:r>
                      <w:rPr>
                        <w:rFonts w:ascii="Arial Black" w:hAnsi="Arial Black"/>
                        <w:spacing w:val="10"/>
                        <w:sz w:val="24"/>
                      </w:rPr>
                      <w:t>(</w:t>
                    </w:r>
                    <w:r>
                      <w:rPr>
                        <w:rFonts w:ascii="Arial Black" w:hAnsi="Arial Black"/>
                        <w:spacing w:val="-58"/>
                        <w:sz w:val="24"/>
                      </w:rPr>
                      <w:t> </w:t>
                    </w:r>
                    <w:r>
                      <w:rPr>
                        <w:i/>
                        <w:spacing w:val="7"/>
                        <w:sz w:val="24"/>
                      </w:rPr>
                      <w:t>g</w:t>
                    </w:r>
                    <w:r>
                      <w:rPr>
                        <w:rFonts w:ascii="Arial Black" w:hAnsi="Arial Black"/>
                        <w:spacing w:val="7"/>
                        <w:sz w:val="24"/>
                      </w:rPr>
                      <w:t>−</w:t>
                    </w:r>
                    <w:r>
                      <w:rPr>
                        <w:i/>
                        <w:spacing w:val="7"/>
                        <w:sz w:val="24"/>
                      </w:rPr>
                      <w:t>i</w:t>
                    </w:r>
                    <w:r>
                      <w:rPr>
                        <w:rFonts w:ascii="Arial Black" w:hAnsi="Arial Black"/>
                        <w:spacing w:val="7"/>
                        <w:sz w:val="24"/>
                      </w:rPr>
                      <w:t>)&gt;</w:t>
                    </w:r>
                    <w:r>
                      <w:rPr>
                        <w:rFonts w:ascii="Arial Black" w:hAnsi="Arial Black"/>
                        <w:spacing w:val="-57"/>
                        <w:sz w:val="24"/>
                      </w:rPr>
                      <w:t> </w:t>
                    </w:r>
                    <w:r>
                      <w:rPr>
                        <w:spacing w:val="4"/>
                        <w:sz w:val="24"/>
                      </w:rPr>
                      <w:t>0</w:t>
                    </w:r>
                    <w:r>
                      <w:rPr>
                        <w:i/>
                        <w:spacing w:val="4"/>
                        <w:sz w:val="24"/>
                      </w:rPr>
                      <w:t>ise</w:t>
                    </w:r>
                  </w:p>
                  <w:p>
                    <w:pPr>
                      <w:spacing w:line="270" w:lineRule="exact" w:before="0"/>
                      <w:ind w:left="0" w:right="49" w:firstLine="0"/>
                      <w:jc w:val="center"/>
                      <w:rPr>
                        <w:i/>
                        <w:sz w:val="24"/>
                      </w:rPr>
                    </w:pPr>
                    <w:r>
                      <w:rPr>
                        <w:sz w:val="24"/>
                      </w:rPr>
                      <w:t>0 </w:t>
                    </w:r>
                    <w:r>
                      <w:rPr>
                        <w:i/>
                        <w:sz w:val="24"/>
                      </w:rPr>
                      <w:t>,diğer</w:t>
                    </w:r>
                  </w:p>
                </w:txbxContent>
              </v:textbox>
              <w10:wrap type="none"/>
            </v:shape>
            <v:shape style="position:absolute;left:1536;top:1369;width:114;height:580" type="#_x0000_t202" filled="false" stroked="false">
              <v:textbox inset="0,0,0,0">
                <w:txbxContent>
                  <w:p>
                    <w:pPr>
                      <w:spacing w:line="580" w:lineRule="exact" w:before="0"/>
                      <w:ind w:left="0" w:right="0" w:firstLine="0"/>
                      <w:jc w:val="left"/>
                      <w:rPr>
                        <w:rFonts w:ascii="Arial Black"/>
                        <w:sz w:val="58"/>
                      </w:rPr>
                    </w:pPr>
                    <w:r>
                      <w:rPr>
                        <w:rFonts w:ascii="Arial Black"/>
                        <w:w w:val="41"/>
                        <w:sz w:val="58"/>
                      </w:rPr>
                      <w:t>{</w:t>
                    </w:r>
                  </w:p>
                </w:txbxContent>
              </v:textbox>
              <w10:wrap type="none"/>
            </v:shape>
            <v:shape style="position:absolute;left:276;top:1455;width:1241;height:350" type="#_x0000_t202" filled="false" stroked="false">
              <v:textbox inset="0,0,0,0">
                <w:txbxContent>
                  <w:p>
                    <w:pPr>
                      <w:spacing w:line="350" w:lineRule="exact" w:before="0"/>
                      <w:ind w:left="0" w:right="0" w:firstLine="0"/>
                      <w:jc w:val="left"/>
                      <w:rPr>
                        <w:rFonts w:ascii="Arial Black" w:hAnsi="Arial Black"/>
                        <w:sz w:val="35"/>
                      </w:rPr>
                    </w:pPr>
                    <w:r>
                      <w:rPr>
                        <w:i/>
                        <w:sz w:val="24"/>
                      </w:rPr>
                      <w:t>K</w:t>
                    </w:r>
                    <w:r>
                      <w:rPr>
                        <w:i/>
                        <w:spacing w:val="-19"/>
                        <w:sz w:val="24"/>
                      </w:rPr>
                      <w:t> </w:t>
                    </w:r>
                    <w:r>
                      <w:rPr>
                        <w:rFonts w:ascii="Arial Black" w:hAnsi="Arial Black"/>
                        <w:sz w:val="24"/>
                      </w:rPr>
                      <w:t>(</w:t>
                    </w:r>
                    <w:r>
                      <w:rPr>
                        <w:rFonts w:ascii="Arial Black" w:hAnsi="Arial Black"/>
                        <w:spacing w:val="-50"/>
                        <w:sz w:val="24"/>
                      </w:rPr>
                      <w:t> </w:t>
                    </w:r>
                    <w:r>
                      <w:rPr>
                        <w:i/>
                        <w:sz w:val="24"/>
                      </w:rPr>
                      <w:t>g</w:t>
                    </w:r>
                    <w:r>
                      <w:rPr>
                        <w:i/>
                        <w:spacing w:val="-24"/>
                        <w:sz w:val="24"/>
                      </w:rPr>
                      <w:t> </w:t>
                    </w:r>
                    <w:r>
                      <w:rPr>
                        <w:i/>
                        <w:sz w:val="24"/>
                      </w:rPr>
                      <w:t>,</w:t>
                    </w:r>
                    <w:r>
                      <w:rPr>
                        <w:i/>
                        <w:spacing w:val="-23"/>
                        <w:sz w:val="24"/>
                      </w:rPr>
                      <w:t> </w:t>
                    </w:r>
                    <w:r>
                      <w:rPr>
                        <w:i/>
                        <w:spacing w:val="3"/>
                        <w:sz w:val="24"/>
                      </w:rPr>
                      <w:t>n</w:t>
                    </w:r>
                    <w:r>
                      <w:rPr>
                        <w:rFonts w:ascii="Arial Black" w:hAnsi="Arial Black"/>
                        <w:spacing w:val="3"/>
                        <w:sz w:val="24"/>
                      </w:rPr>
                      <w:t>)=</w:t>
                    </w:r>
                    <w:r>
                      <w:rPr>
                        <w:rFonts w:ascii="Arial Black" w:hAnsi="Arial Black"/>
                        <w:spacing w:val="3"/>
                        <w:position w:val="-2"/>
                        <w:sz w:val="35"/>
                      </w:rPr>
                      <w:t>∑</w:t>
                    </w:r>
                  </w:p>
                </w:txbxContent>
              </v:textbox>
              <w10:wrap type="none"/>
            </v:shape>
            <v:shape style="position:absolute;left:1220;top:1002;width:884;height:455" type="#_x0000_t202" filled="false" stroked="false">
              <v:textbox inset="0,0,0,0">
                <w:txbxContent>
                  <w:p>
                    <w:pPr>
                      <w:spacing w:line="277" w:lineRule="exact" w:before="0"/>
                      <w:ind w:left="151" w:right="0" w:firstLine="0"/>
                      <w:jc w:val="left"/>
                      <w:rPr>
                        <w:rFonts w:ascii="Arial Black"/>
                        <w:sz w:val="24"/>
                      </w:rPr>
                    </w:pPr>
                    <w:r>
                      <w:rPr>
                        <w:i/>
                        <w:spacing w:val="7"/>
                        <w:sz w:val="24"/>
                      </w:rPr>
                      <w:t>Z</w:t>
                    </w:r>
                    <w:r>
                      <w:rPr>
                        <w:rFonts w:ascii="Arial Black"/>
                        <w:spacing w:val="7"/>
                        <w:sz w:val="24"/>
                      </w:rPr>
                      <w:t>(</w:t>
                    </w:r>
                    <w:r>
                      <w:rPr>
                        <w:rFonts w:ascii="Arial Black"/>
                        <w:spacing w:val="-62"/>
                        <w:sz w:val="24"/>
                      </w:rPr>
                      <w:t> </w:t>
                    </w:r>
                    <w:r>
                      <w:rPr>
                        <w:i/>
                        <w:sz w:val="24"/>
                      </w:rPr>
                      <w:t>g</w:t>
                    </w:r>
                    <w:r>
                      <w:rPr>
                        <w:i/>
                        <w:spacing w:val="-37"/>
                        <w:sz w:val="24"/>
                      </w:rPr>
                      <w:t> </w:t>
                    </w:r>
                    <w:r>
                      <w:rPr>
                        <w:i/>
                        <w:sz w:val="24"/>
                      </w:rPr>
                      <w:t>,</w:t>
                    </w:r>
                    <w:r>
                      <w:rPr>
                        <w:i/>
                        <w:spacing w:val="-37"/>
                        <w:sz w:val="24"/>
                      </w:rPr>
                      <w:t> </w:t>
                    </w:r>
                    <w:r>
                      <w:rPr>
                        <w:i/>
                        <w:spacing w:val="8"/>
                        <w:sz w:val="24"/>
                      </w:rPr>
                      <w:t>n</w:t>
                    </w:r>
                    <w:r>
                      <w:rPr>
                        <w:rFonts w:ascii="Arial Black"/>
                        <w:spacing w:val="8"/>
                        <w:sz w:val="24"/>
                      </w:rPr>
                      <w:t>)</w:t>
                    </w:r>
                  </w:p>
                  <w:p>
                    <w:pPr>
                      <w:spacing w:line="177" w:lineRule="exact" w:before="0"/>
                      <w:ind w:left="0" w:right="0" w:firstLine="0"/>
                      <w:jc w:val="left"/>
                      <w:rPr>
                        <w:sz w:val="14"/>
                      </w:rPr>
                    </w:pPr>
                    <w:r>
                      <w:rPr>
                        <w:i/>
                        <w:w w:val="110"/>
                        <w:sz w:val="14"/>
                      </w:rPr>
                      <w:t>n</w:t>
                    </w:r>
                    <w:r>
                      <w:rPr>
                        <w:rFonts w:ascii="Arial Black" w:hAnsi="Arial Black"/>
                        <w:w w:val="110"/>
                        <w:sz w:val="14"/>
                      </w:rPr>
                      <w:t>−</w:t>
                    </w:r>
                    <w:r>
                      <w:rPr>
                        <w:w w:val="110"/>
                        <w:sz w:val="14"/>
                      </w:rPr>
                      <w:t>1</w:t>
                    </w:r>
                  </w:p>
                </w:txbxContent>
              </v:textbox>
              <w10:wrap type="none"/>
            </v:shape>
            <v:shape style="position:absolute;left:276;top:686;width:1842;height:421" type="#_x0000_t202" filled="false" stroked="false">
              <v:textbox inset="0,0,0,0">
                <w:txbxContent>
                  <w:p>
                    <w:pPr>
                      <w:spacing w:line="421" w:lineRule="exact" w:before="0"/>
                      <w:ind w:left="0" w:right="0" w:firstLine="0"/>
                      <w:jc w:val="left"/>
                      <w:rPr>
                        <w:rFonts w:ascii="Arial Black"/>
                        <w:sz w:val="24"/>
                      </w:rPr>
                    </w:pPr>
                    <w:r>
                      <w:rPr>
                        <w:i/>
                        <w:spacing w:val="6"/>
                        <w:sz w:val="24"/>
                      </w:rPr>
                      <w:t>RS</w:t>
                    </w:r>
                    <w:r>
                      <w:rPr>
                        <w:rFonts w:ascii="Arial Black"/>
                        <w:spacing w:val="6"/>
                        <w:sz w:val="24"/>
                      </w:rPr>
                      <w:t>(</w:t>
                    </w:r>
                    <w:r>
                      <w:rPr>
                        <w:rFonts w:ascii="Arial Black"/>
                        <w:spacing w:val="-58"/>
                        <w:sz w:val="24"/>
                      </w:rPr>
                      <w:t> </w:t>
                    </w:r>
                    <w:r>
                      <w:rPr>
                        <w:i/>
                        <w:sz w:val="24"/>
                      </w:rPr>
                      <w:t>g</w:t>
                    </w:r>
                    <w:r>
                      <w:rPr>
                        <w:i/>
                        <w:spacing w:val="-32"/>
                        <w:sz w:val="24"/>
                      </w:rPr>
                      <w:t> </w:t>
                    </w:r>
                    <w:r>
                      <w:rPr>
                        <w:i/>
                        <w:sz w:val="24"/>
                      </w:rPr>
                      <w:t>,</w:t>
                    </w:r>
                    <w:r>
                      <w:rPr>
                        <w:i/>
                        <w:spacing w:val="-32"/>
                        <w:sz w:val="24"/>
                      </w:rPr>
                      <w:t> </w:t>
                    </w:r>
                    <w:r>
                      <w:rPr>
                        <w:i/>
                        <w:spacing w:val="2"/>
                        <w:sz w:val="24"/>
                      </w:rPr>
                      <w:t>n</w:t>
                    </w:r>
                    <w:r>
                      <w:rPr>
                        <w:rFonts w:ascii="Arial Black"/>
                        <w:spacing w:val="2"/>
                        <w:sz w:val="24"/>
                      </w:rPr>
                      <w:t>)=</w:t>
                    </w:r>
                    <w:r>
                      <w:rPr>
                        <w:rFonts w:ascii="Arial Black"/>
                        <w:spacing w:val="-35"/>
                        <w:sz w:val="24"/>
                      </w:rPr>
                      <w:t> </w:t>
                    </w:r>
                    <w:r>
                      <w:rPr>
                        <w:i/>
                        <w:position w:val="15"/>
                        <w:sz w:val="24"/>
                        <w:u w:val="single"/>
                      </w:rPr>
                      <w:t>K</w:t>
                    </w:r>
                    <w:r>
                      <w:rPr>
                        <w:i/>
                        <w:spacing w:val="-28"/>
                        <w:position w:val="15"/>
                        <w:sz w:val="24"/>
                        <w:u w:val="single"/>
                      </w:rPr>
                      <w:t> </w:t>
                    </w:r>
                    <w:r>
                      <w:rPr>
                        <w:rFonts w:ascii="Arial Black"/>
                        <w:position w:val="15"/>
                        <w:sz w:val="24"/>
                        <w:u w:val="single"/>
                      </w:rPr>
                      <w:t>(</w:t>
                    </w:r>
                    <w:r>
                      <w:rPr>
                        <w:rFonts w:ascii="Arial Black"/>
                        <w:spacing w:val="-58"/>
                        <w:position w:val="15"/>
                        <w:sz w:val="24"/>
                        <w:u w:val="single"/>
                      </w:rPr>
                      <w:t> </w:t>
                    </w:r>
                    <w:r>
                      <w:rPr>
                        <w:i/>
                        <w:position w:val="15"/>
                        <w:sz w:val="24"/>
                        <w:u w:val="single"/>
                      </w:rPr>
                      <w:t>g</w:t>
                    </w:r>
                    <w:r>
                      <w:rPr>
                        <w:i/>
                        <w:spacing w:val="-32"/>
                        <w:position w:val="15"/>
                        <w:sz w:val="24"/>
                        <w:u w:val="single"/>
                      </w:rPr>
                      <w:t> </w:t>
                    </w:r>
                    <w:r>
                      <w:rPr>
                        <w:i/>
                        <w:position w:val="15"/>
                        <w:sz w:val="24"/>
                        <w:u w:val="single"/>
                      </w:rPr>
                      <w:t>,</w:t>
                    </w:r>
                    <w:r>
                      <w:rPr>
                        <w:i/>
                        <w:spacing w:val="-32"/>
                        <w:position w:val="15"/>
                        <w:sz w:val="24"/>
                        <w:u w:val="single"/>
                      </w:rPr>
                      <w:t> </w:t>
                    </w:r>
                    <w:r>
                      <w:rPr>
                        <w:i/>
                        <w:position w:val="15"/>
                        <w:sz w:val="24"/>
                        <w:u w:val="single"/>
                      </w:rPr>
                      <w:t>n</w:t>
                    </w:r>
                    <w:r>
                      <w:rPr>
                        <w:rFonts w:ascii="Arial Black"/>
                        <w:position w:val="15"/>
                        <w:sz w:val="24"/>
                        <w:u w:val="single"/>
                      </w:rPr>
                      <w:t>)</w:t>
                    </w:r>
                  </w:p>
                </w:txbxContent>
              </v:textbox>
              <w10:wrap type="none"/>
            </v:shape>
            <v:shape style="position:absolute;left:1872;top:398;width:1168;height:271" type="#_x0000_t202" filled="false" stroked="false">
              <v:textbox inset="0,0,0,0">
                <w:txbxContent>
                  <w:p>
                    <w:pPr>
                      <w:spacing w:line="271" w:lineRule="exact" w:before="0"/>
                      <w:ind w:left="0" w:right="0" w:firstLine="0"/>
                      <w:jc w:val="left"/>
                      <w:rPr>
                        <w:rFonts w:ascii="Arial Black"/>
                        <w:sz w:val="24"/>
                      </w:rPr>
                    </w:pPr>
                    <w:r>
                      <w:rPr>
                        <w:spacing w:val="8"/>
                        <w:sz w:val="24"/>
                      </w:rPr>
                      <w:t>1</w:t>
                    </w:r>
                    <w:r>
                      <w:rPr>
                        <w:rFonts w:ascii="Arial Black"/>
                        <w:spacing w:val="8"/>
                        <w:sz w:val="24"/>
                      </w:rPr>
                      <w:t>+</w:t>
                    </w:r>
                    <w:r>
                      <w:rPr>
                        <w:rFonts w:ascii="Arial Black"/>
                        <w:spacing w:val="-65"/>
                        <w:sz w:val="24"/>
                      </w:rPr>
                      <w:t> </w:t>
                    </w:r>
                    <w:r>
                      <w:rPr>
                        <w:i/>
                        <w:spacing w:val="5"/>
                        <w:sz w:val="24"/>
                      </w:rPr>
                      <w:t>RS</w:t>
                    </w:r>
                    <w:r>
                      <w:rPr>
                        <w:rFonts w:ascii="Arial Black"/>
                        <w:spacing w:val="5"/>
                        <w:sz w:val="24"/>
                      </w:rPr>
                      <w:t>(</w:t>
                    </w:r>
                    <w:r>
                      <w:rPr>
                        <w:rFonts w:ascii="Arial Black"/>
                        <w:spacing w:val="-65"/>
                        <w:sz w:val="24"/>
                      </w:rPr>
                      <w:t> </w:t>
                    </w:r>
                    <w:r>
                      <w:rPr>
                        <w:i/>
                        <w:sz w:val="24"/>
                      </w:rPr>
                      <w:t>g</w:t>
                    </w:r>
                    <w:r>
                      <w:rPr>
                        <w:i/>
                        <w:spacing w:val="-30"/>
                        <w:sz w:val="24"/>
                      </w:rPr>
                      <w:t> </w:t>
                    </w:r>
                    <w:r>
                      <w:rPr>
                        <w:i/>
                        <w:spacing w:val="10"/>
                        <w:sz w:val="24"/>
                      </w:rPr>
                      <w:t>,n</w:t>
                    </w:r>
                    <w:r>
                      <w:rPr>
                        <w:rFonts w:ascii="Arial Black"/>
                        <w:spacing w:val="10"/>
                        <w:sz w:val="24"/>
                      </w:rPr>
                      <w:t>)</w:t>
                    </w:r>
                  </w:p>
                </w:txbxContent>
              </v:textbox>
              <w10:wrap type="none"/>
            </v:shape>
            <v:shape style="position:absolute;left:162;top:82;width:2874;height:407" type="#_x0000_t202" filled="false" stroked="false">
              <v:textbox inset="0,0,0,0">
                <w:txbxContent>
                  <w:p>
                    <w:pPr>
                      <w:tabs>
                        <w:tab w:pos="2099" w:val="left" w:leader="none"/>
                        <w:tab w:pos="2853" w:val="left" w:leader="none"/>
                      </w:tabs>
                      <w:spacing w:line="407" w:lineRule="exact" w:before="0"/>
                      <w:ind w:left="0" w:right="0" w:firstLine="0"/>
                      <w:jc w:val="left"/>
                      <w:rPr>
                        <w:sz w:val="24"/>
                      </w:rPr>
                    </w:pPr>
                    <w:r>
                      <w:rPr>
                        <w:i/>
                        <w:sz w:val="24"/>
                      </w:rPr>
                      <w:t>RSI</w:t>
                    </w:r>
                    <w:r>
                      <w:rPr>
                        <w:i/>
                        <w:spacing w:val="-29"/>
                        <w:sz w:val="24"/>
                      </w:rPr>
                      <w:t> </w:t>
                    </w:r>
                    <w:r>
                      <w:rPr>
                        <w:rFonts w:ascii="Arial Black" w:hAnsi="Arial Black"/>
                        <w:sz w:val="24"/>
                      </w:rPr>
                      <w:t>(</w:t>
                    </w:r>
                    <w:r>
                      <w:rPr>
                        <w:rFonts w:ascii="Arial Black" w:hAnsi="Arial Black"/>
                        <w:spacing w:val="-53"/>
                        <w:sz w:val="24"/>
                      </w:rPr>
                      <w:t> </w:t>
                    </w:r>
                    <w:r>
                      <w:rPr>
                        <w:i/>
                        <w:sz w:val="24"/>
                      </w:rPr>
                      <w:t>g</w:t>
                    </w:r>
                    <w:r>
                      <w:rPr>
                        <w:i/>
                        <w:spacing w:val="-26"/>
                        <w:sz w:val="24"/>
                      </w:rPr>
                      <w:t> </w:t>
                    </w:r>
                    <w:r>
                      <w:rPr>
                        <w:i/>
                        <w:sz w:val="24"/>
                      </w:rPr>
                      <w:t>,</w:t>
                    </w:r>
                    <w:r>
                      <w:rPr>
                        <w:i/>
                        <w:spacing w:val="-26"/>
                        <w:sz w:val="24"/>
                      </w:rPr>
                      <w:t> </w:t>
                    </w:r>
                    <w:r>
                      <w:rPr>
                        <w:i/>
                        <w:spacing w:val="4"/>
                        <w:sz w:val="24"/>
                      </w:rPr>
                      <w:t>n</w:t>
                    </w:r>
                    <w:r>
                      <w:rPr>
                        <w:rFonts w:ascii="Arial Black" w:hAnsi="Arial Black"/>
                        <w:spacing w:val="4"/>
                        <w:sz w:val="24"/>
                      </w:rPr>
                      <w:t>)=</w:t>
                    </w:r>
                    <w:r>
                      <w:rPr>
                        <w:spacing w:val="4"/>
                        <w:sz w:val="24"/>
                      </w:rPr>
                      <w:t>100</w:t>
                    </w:r>
                    <w:r>
                      <w:rPr>
                        <w:rFonts w:ascii="Arial Black" w:hAnsi="Arial Black"/>
                        <w:spacing w:val="4"/>
                        <w:sz w:val="24"/>
                      </w:rPr>
                      <w:t>−</w:t>
                    </w:r>
                    <w:r>
                      <w:rPr>
                        <w:rFonts w:ascii="Arial Black" w:hAnsi="Arial Black"/>
                        <w:spacing w:val="4"/>
                        <w:position w:val="14"/>
                        <w:sz w:val="24"/>
                        <w:u w:val="single"/>
                      </w:rPr>
                      <w:t> </w:t>
                      <w:tab/>
                    </w:r>
                    <w:r>
                      <w:rPr>
                        <w:position w:val="14"/>
                        <w:sz w:val="24"/>
                        <w:u w:val="single"/>
                      </w:rPr>
                      <w:t>100</w:t>
                      <w:tab/>
                    </w:r>
                  </w:p>
                </w:txbxContent>
              </v:textbox>
              <w10:wrap type="none"/>
            </v:shape>
          </v:group>
        </w:pict>
      </w:r>
      <w:r>
        <w:rPr>
          <w:sz w:val="20"/>
        </w:rPr>
      </w:r>
    </w:p>
    <w:p>
      <w:pPr>
        <w:pStyle w:val="BodyText"/>
        <w:spacing w:before="8"/>
        <w:rPr>
          <w:sz w:val="9"/>
        </w:rPr>
      </w:pPr>
    </w:p>
    <w:p>
      <w:pPr>
        <w:pStyle w:val="BodyText"/>
        <w:spacing w:line="360" w:lineRule="auto" w:before="90"/>
        <w:ind w:left="590" w:right="1421"/>
        <w:jc w:val="both"/>
      </w:pPr>
      <w:r>
        <w:rPr>
          <w:color w:val="000009"/>
        </w:rPr>
        <w:t>Bu çalışmada 2 günlükten 20 günlüğe kadar tüm periyotlar için RSI değerleri hesaplanmış ve YSA’ya verilmiştir.</w:t>
      </w:r>
    </w:p>
    <w:p>
      <w:pPr>
        <w:pStyle w:val="BodyText"/>
        <w:spacing w:before="4"/>
        <w:rPr>
          <w:sz w:val="31"/>
        </w:rPr>
      </w:pPr>
    </w:p>
    <w:p>
      <w:pPr>
        <w:pStyle w:val="Heading2"/>
        <w:numPr>
          <w:ilvl w:val="2"/>
          <w:numId w:val="1"/>
        </w:numPr>
        <w:tabs>
          <w:tab w:pos="1698" w:val="left" w:leader="none"/>
        </w:tabs>
        <w:spacing w:line="240" w:lineRule="auto" w:before="0" w:after="0"/>
        <w:ind w:left="1698" w:right="0" w:hanging="540"/>
        <w:jc w:val="left"/>
      </w:pPr>
      <w:r>
        <w:rPr>
          <w:color w:val="000009"/>
        </w:rPr>
        <w:t>Williams</w:t>
      </w:r>
      <w:r>
        <w:rPr>
          <w:color w:val="000009"/>
          <w:spacing w:val="1"/>
        </w:rPr>
        <w:t> </w:t>
      </w:r>
      <w:r>
        <w:rPr>
          <w:color w:val="000009"/>
        </w:rPr>
        <w:t>%R</w:t>
      </w:r>
    </w:p>
    <w:p>
      <w:pPr>
        <w:pStyle w:val="BodyText"/>
        <w:spacing w:before="10"/>
        <w:rPr>
          <w:b/>
          <w:sz w:val="32"/>
        </w:rPr>
      </w:pPr>
    </w:p>
    <w:p>
      <w:pPr>
        <w:pStyle w:val="BodyText"/>
        <w:spacing w:line="360" w:lineRule="auto"/>
        <w:ind w:left="590" w:right="1416"/>
        <w:jc w:val="both"/>
      </w:pPr>
      <w:r>
        <w:rPr>
          <w:color w:val="000009"/>
        </w:rPr>
        <w:t>Williams %R göstergesi RSI gibi fazladan alım ve satım yapılan günleri tahmin etmek için kullanılır. 0 ile -100 arasında bir değer üretir ve 0’a yakınlaştığında fazla alım, -100’e yaklaştığında fazla satış yapıldığı kabul edilir. RSI’dan farklı olarak kapanış fiyatlarındaki değişimlere değil, son kapanış fiyatının seçilen periyottaki en düşük ve en yüksek fiyata göre durumuna odaklanır.</w:t>
      </w:r>
    </w:p>
    <w:p>
      <w:pPr>
        <w:pStyle w:val="BodyText"/>
        <w:rPr>
          <w:sz w:val="15"/>
        </w:rPr>
      </w:pPr>
      <w:r>
        <w:rPr/>
        <w:pict>
          <v:group style="position:absolute;margin-left:117.400002pt;margin-top:10.625992pt;width:403.4pt;height:83.9pt;mso-position-horizontal-relative:page;mso-position-vertical-relative:paragraph;z-index:1712;mso-wrap-distance-left:0;mso-wrap-distance-right:0" coordorigin="2348,213" coordsize="8068,1678">
            <v:line style="position:absolute" from="2348,214" to="10415,214" stroked="true" strokeweight=".05pt" strokecolor="#000000">
              <v:stroke dashstyle="solid"/>
            </v:line>
            <v:line style="position:absolute" from="10415,213" to="10415,1890" stroked="true" strokeweight=".05pt" strokecolor="#000000">
              <v:stroke dashstyle="solid"/>
            </v:line>
            <v:line style="position:absolute" from="10415,1890" to="2348,1890" stroked="true" strokeweight=".05pt" strokecolor="#000000">
              <v:stroke dashstyle="solid"/>
            </v:line>
            <v:line style="position:absolute" from="2349,1890" to="2349,213" stroked="true" strokeweight=".05pt" strokecolor="#000000">
              <v:stroke dashstyle="solid"/>
            </v:line>
            <v:shape style="position:absolute;left:2436;top:1172;width:7743;height:542" type="#_x0000_t202" filled="false" stroked="false">
              <v:textbox inset="0,0,0,0">
                <w:txbxContent>
                  <w:p>
                    <w:pPr>
                      <w:spacing w:line="240" w:lineRule="auto" w:before="0"/>
                      <w:ind w:left="0" w:right="-6" w:firstLine="0"/>
                      <w:jc w:val="left"/>
                      <w:rPr>
                        <w:i/>
                        <w:sz w:val="24"/>
                      </w:rPr>
                    </w:pPr>
                    <w:r>
                      <w:rPr>
                        <w:i/>
                        <w:color w:val="000009"/>
                        <w:sz w:val="24"/>
                      </w:rPr>
                      <w:t>Williams %R formülü (g: hesaplanacak gün, n: periyot, </w:t>
                    </w:r>
                    <w:r>
                      <w:rPr>
                        <w:i/>
                        <w:color w:val="000009"/>
                        <w:spacing w:val="-6"/>
                        <w:sz w:val="24"/>
                      </w:rPr>
                      <w:t>EY: </w:t>
                    </w:r>
                    <w:r>
                      <w:rPr>
                        <w:i/>
                        <w:color w:val="000009"/>
                        <w:sz w:val="24"/>
                      </w:rPr>
                      <w:t>n günlük periyottaki </w:t>
                    </w:r>
                    <w:r>
                      <w:rPr>
                        <w:i/>
                        <w:color w:val="000009"/>
                        <w:sz w:val="24"/>
                      </w:rPr>
                      <w:t>en yüksek fiyat ED: n günlük periyottaki en düşük fiyat)</w:t>
                    </w:r>
                  </w:p>
                </w:txbxContent>
              </v:textbox>
              <w10:wrap type="none"/>
            </v:shape>
            <v:shape style="position:absolute;left:4844;top:624;width:880;height:271" type="#_x0000_t202" filled="false" stroked="false">
              <v:textbox inset="0,0,0,0">
                <w:txbxContent>
                  <w:p>
                    <w:pPr>
                      <w:spacing w:line="271" w:lineRule="exact" w:before="0"/>
                      <w:ind w:left="0" w:right="0" w:firstLine="0"/>
                      <w:jc w:val="left"/>
                      <w:rPr>
                        <w:i/>
                        <w:sz w:val="24"/>
                      </w:rPr>
                    </w:pPr>
                    <w:r>
                      <w:rPr>
                        <w:i/>
                        <w:w w:val="105"/>
                        <w:sz w:val="24"/>
                      </w:rPr>
                      <w:t>EY </w:t>
                    </w:r>
                    <w:r>
                      <w:rPr>
                        <w:rFonts w:ascii="Arial Black" w:hAnsi="Arial Black"/>
                        <w:w w:val="105"/>
                        <w:sz w:val="24"/>
                      </w:rPr>
                      <w:t>−</w:t>
                    </w:r>
                    <w:r>
                      <w:rPr>
                        <w:i/>
                        <w:w w:val="105"/>
                        <w:sz w:val="24"/>
                      </w:rPr>
                      <w:t>ED</w:t>
                    </w:r>
                  </w:p>
                </w:txbxContent>
              </v:textbox>
              <w10:wrap type="none"/>
            </v:shape>
            <v:shape style="position:absolute;left:2608;top:310;width:4272;height:421" type="#_x0000_t202" filled="false" stroked="false">
              <v:textbox inset="0,0,0,0">
                <w:txbxContent>
                  <w:p>
                    <w:pPr>
                      <w:spacing w:line="421" w:lineRule="exact" w:before="0"/>
                      <w:ind w:left="0" w:right="0" w:firstLine="0"/>
                      <w:jc w:val="left"/>
                      <w:rPr>
                        <w:rFonts w:ascii="Arial Black" w:hAnsi="Arial Black"/>
                        <w:sz w:val="24"/>
                      </w:rPr>
                    </w:pPr>
                    <w:r>
                      <w:rPr>
                        <w:i/>
                        <w:spacing w:val="-3"/>
                        <w:sz w:val="24"/>
                      </w:rPr>
                      <w:t>Williams</w:t>
                    </w:r>
                    <w:r>
                      <w:rPr>
                        <w:i/>
                        <w:spacing w:val="-21"/>
                        <w:sz w:val="24"/>
                      </w:rPr>
                      <w:t> </w:t>
                    </w:r>
                    <w:r>
                      <w:rPr>
                        <w:i/>
                        <w:spacing w:val="4"/>
                        <w:sz w:val="24"/>
                      </w:rPr>
                      <w:t>%R</w:t>
                    </w:r>
                    <w:r>
                      <w:rPr>
                        <w:rFonts w:ascii="Arial Black" w:hAnsi="Arial Black"/>
                        <w:spacing w:val="4"/>
                        <w:sz w:val="24"/>
                      </w:rPr>
                      <w:t>(</w:t>
                    </w:r>
                    <w:r>
                      <w:rPr>
                        <w:rFonts w:ascii="Arial Black" w:hAnsi="Arial Black"/>
                        <w:spacing w:val="-50"/>
                        <w:sz w:val="24"/>
                      </w:rPr>
                      <w:t> </w:t>
                    </w:r>
                    <w:r>
                      <w:rPr>
                        <w:i/>
                        <w:sz w:val="24"/>
                      </w:rPr>
                      <w:t>g</w:t>
                    </w:r>
                    <w:r>
                      <w:rPr>
                        <w:i/>
                        <w:spacing w:val="-22"/>
                        <w:sz w:val="24"/>
                      </w:rPr>
                      <w:t> </w:t>
                    </w:r>
                    <w:r>
                      <w:rPr>
                        <w:i/>
                        <w:sz w:val="24"/>
                      </w:rPr>
                      <w:t>,</w:t>
                    </w:r>
                    <w:r>
                      <w:rPr>
                        <w:i/>
                        <w:spacing w:val="-23"/>
                        <w:sz w:val="24"/>
                      </w:rPr>
                      <w:t> </w:t>
                    </w:r>
                    <w:r>
                      <w:rPr>
                        <w:i/>
                        <w:sz w:val="24"/>
                      </w:rPr>
                      <w:t>n</w:t>
                    </w:r>
                    <w:r>
                      <w:rPr>
                        <w:rFonts w:ascii="Arial Black" w:hAnsi="Arial Black"/>
                        <w:sz w:val="24"/>
                      </w:rPr>
                      <w:t>)=</w:t>
                    </w:r>
                    <w:r>
                      <w:rPr>
                        <w:rFonts w:ascii="Arial Black" w:hAnsi="Arial Black"/>
                        <w:spacing w:val="-16"/>
                        <w:sz w:val="24"/>
                      </w:rPr>
                      <w:t> </w:t>
                    </w:r>
                    <w:r>
                      <w:rPr>
                        <w:i/>
                        <w:position w:val="15"/>
                        <w:sz w:val="24"/>
                        <w:u w:val="single"/>
                      </w:rPr>
                      <w:t>EY</w:t>
                    </w:r>
                    <w:r>
                      <w:rPr>
                        <w:i/>
                        <w:spacing w:val="-17"/>
                        <w:position w:val="15"/>
                        <w:sz w:val="24"/>
                        <w:u w:val="single"/>
                      </w:rPr>
                      <w:t> </w:t>
                    </w:r>
                    <w:r>
                      <w:rPr>
                        <w:rFonts w:ascii="Arial Black" w:hAnsi="Arial Black"/>
                        <w:spacing w:val="2"/>
                        <w:position w:val="15"/>
                        <w:sz w:val="24"/>
                        <w:u w:val="single"/>
                      </w:rPr>
                      <w:t>−</w:t>
                    </w:r>
                    <w:r>
                      <w:rPr>
                        <w:i/>
                        <w:spacing w:val="2"/>
                        <w:position w:val="15"/>
                        <w:sz w:val="24"/>
                        <w:u w:val="single"/>
                      </w:rPr>
                      <w:t>fiyat</w:t>
                    </w:r>
                    <w:r>
                      <w:rPr>
                        <w:i/>
                        <w:spacing w:val="-29"/>
                        <w:position w:val="15"/>
                        <w:sz w:val="24"/>
                        <w:u w:val="single"/>
                      </w:rPr>
                      <w:t> </w:t>
                    </w:r>
                    <w:r>
                      <w:rPr>
                        <w:rFonts w:ascii="Arial Black" w:hAnsi="Arial Black"/>
                        <w:position w:val="15"/>
                        <w:sz w:val="24"/>
                        <w:u w:val="single"/>
                      </w:rPr>
                      <w:t>(</w:t>
                    </w:r>
                    <w:r>
                      <w:rPr>
                        <w:rFonts w:ascii="Arial Black" w:hAnsi="Arial Black"/>
                        <w:spacing w:val="-50"/>
                        <w:position w:val="15"/>
                        <w:sz w:val="24"/>
                        <w:u w:val="single"/>
                      </w:rPr>
                      <w:t> </w:t>
                    </w:r>
                    <w:r>
                      <w:rPr>
                        <w:i/>
                        <w:spacing w:val="7"/>
                        <w:position w:val="15"/>
                        <w:sz w:val="24"/>
                        <w:u w:val="single"/>
                      </w:rPr>
                      <w:t>g</w:t>
                    </w:r>
                    <w:r>
                      <w:rPr>
                        <w:rFonts w:ascii="Arial Black" w:hAnsi="Arial Black"/>
                        <w:spacing w:val="7"/>
                        <w:position w:val="15"/>
                        <w:sz w:val="24"/>
                        <w:u w:val="single"/>
                      </w:rPr>
                      <w:t>)</w:t>
                    </w:r>
                    <w:r>
                      <w:rPr>
                        <w:rFonts w:ascii="Arial Black" w:hAnsi="Arial Black"/>
                        <w:spacing w:val="-53"/>
                        <w:position w:val="15"/>
                        <w:sz w:val="24"/>
                      </w:rPr>
                      <w:t> </w:t>
                    </w:r>
                    <w:r>
                      <w:rPr>
                        <w:rFonts w:ascii="Arial Black" w:hAnsi="Arial Black"/>
                        <w:sz w:val="24"/>
                      </w:rPr>
                      <w:t>×(−</w:t>
                    </w:r>
                    <w:r>
                      <w:rPr>
                        <w:sz w:val="24"/>
                      </w:rPr>
                      <w:t>100</w:t>
                    </w:r>
                    <w:r>
                      <w:rPr>
                        <w:rFonts w:ascii="Arial Black" w:hAnsi="Arial Black"/>
                        <w:sz w:val="24"/>
                      </w:rPr>
                      <w:t>)</w:t>
                    </w:r>
                  </w:p>
                </w:txbxContent>
              </v:textbox>
              <w10:wrap type="none"/>
            </v:shape>
            <w10:wrap type="topAndBottom"/>
          </v:group>
        </w:pict>
      </w:r>
    </w:p>
    <w:p>
      <w:pPr>
        <w:pStyle w:val="BodyText"/>
        <w:rPr>
          <w:sz w:val="26"/>
        </w:rPr>
      </w:pPr>
    </w:p>
    <w:p>
      <w:pPr>
        <w:pStyle w:val="BodyText"/>
        <w:spacing w:before="2"/>
        <w:rPr>
          <w:sz w:val="26"/>
        </w:rPr>
      </w:pPr>
    </w:p>
    <w:p>
      <w:pPr>
        <w:pStyle w:val="BodyText"/>
        <w:spacing w:line="360" w:lineRule="auto" w:before="1"/>
        <w:ind w:left="590" w:right="1425"/>
        <w:jc w:val="both"/>
      </w:pPr>
      <w:r>
        <w:rPr>
          <w:color w:val="000009"/>
        </w:rPr>
        <w:t>Bu çalışmada Williams %R göstergesi RSI’a benzer olarak 2 günlükten 20 günlüğe kadar tüm periyotlar için hesaplanmış ve YSA’ya verilmiştir.</w:t>
      </w:r>
    </w:p>
    <w:p>
      <w:pPr>
        <w:spacing w:after="0" w:line="360" w:lineRule="auto"/>
        <w:jc w:val="both"/>
        <w:sectPr>
          <w:pgSz w:w="11910" w:h="16840"/>
          <w:pgMar w:header="0" w:footer="1050" w:top="1420" w:bottom="1240" w:left="1680" w:right="0"/>
        </w:sectPr>
      </w:pPr>
    </w:p>
    <w:p>
      <w:pPr>
        <w:pStyle w:val="Heading2"/>
        <w:numPr>
          <w:ilvl w:val="2"/>
          <w:numId w:val="1"/>
        </w:numPr>
        <w:tabs>
          <w:tab w:pos="1698" w:val="left" w:leader="none"/>
        </w:tabs>
        <w:spacing w:line="240" w:lineRule="auto" w:before="64" w:after="0"/>
        <w:ind w:left="1698" w:right="0" w:hanging="540"/>
        <w:jc w:val="left"/>
      </w:pPr>
      <w:r>
        <w:rPr>
          <w:color w:val="000009"/>
        </w:rPr>
        <w:t>Rate Of Change (Değişim Oranı, ROC)</w:t>
      </w:r>
    </w:p>
    <w:p>
      <w:pPr>
        <w:pStyle w:val="BodyText"/>
        <w:spacing w:before="10"/>
        <w:rPr>
          <w:b/>
          <w:sz w:val="32"/>
        </w:rPr>
      </w:pPr>
    </w:p>
    <w:p>
      <w:pPr>
        <w:pStyle w:val="BodyText"/>
        <w:spacing w:line="360" w:lineRule="auto"/>
        <w:ind w:left="590" w:right="1418"/>
        <w:jc w:val="both"/>
      </w:pPr>
      <w:r>
        <w:rPr>
          <w:color w:val="000009"/>
        </w:rPr>
        <w:t>ROC, varlığın sadece güncel fiyatı ve </w:t>
      </w:r>
      <w:r>
        <w:rPr>
          <w:i/>
          <w:color w:val="000009"/>
        </w:rPr>
        <w:t>n </w:t>
      </w:r>
      <w:r>
        <w:rPr>
          <w:color w:val="000009"/>
        </w:rPr>
        <w:t>gün önceki fiyatı ile ilgilenir. Fiyattaki değişmin momentini verir. Bu çalışmada 5, 10 ve 20 günlük ROC değerleri YSA’ya verilmiştir.</w:t>
      </w:r>
    </w:p>
    <w:p>
      <w:pPr>
        <w:pStyle w:val="BodyText"/>
        <w:spacing w:before="1"/>
        <w:rPr>
          <w:sz w:val="15"/>
        </w:rPr>
      </w:pPr>
      <w:r>
        <w:rPr/>
        <w:pict>
          <v:group style="position:absolute;margin-left:117.400002pt;margin-top:10.717008pt;width:403.4pt;height:83.8pt;mso-position-horizontal-relative:page;mso-position-vertical-relative:paragraph;z-index:1808;mso-wrap-distance-left:0;mso-wrap-distance-right:0" coordorigin="2348,214" coordsize="8068,1676">
            <v:line style="position:absolute" from="2348,215" to="10415,215" stroked="true" strokeweight=".05pt" strokecolor="#000000">
              <v:stroke dashstyle="solid"/>
            </v:line>
            <v:line style="position:absolute" from="10415,214" to="10415,1889" stroked="true" strokeweight=".05pt" strokecolor="#000000">
              <v:stroke dashstyle="solid"/>
            </v:line>
            <v:line style="position:absolute" from="10415,1889" to="2348,1889" stroked="true" strokeweight=".05pt" strokecolor="#000000">
              <v:stroke dashstyle="solid"/>
            </v:line>
            <v:line style="position:absolute" from="2349,1889" to="2349,214" stroked="true" strokeweight=".05pt" strokecolor="#000000">
              <v:stroke dashstyle="solid"/>
            </v:line>
            <v:shape style="position:absolute;left:2436;top:1196;width:4598;height:266" type="#_x0000_t202" filled="false" stroked="false">
              <v:textbox inset="0,0,0,0">
                <w:txbxContent>
                  <w:p>
                    <w:pPr>
                      <w:spacing w:line="266" w:lineRule="exact" w:before="0"/>
                      <w:ind w:left="0" w:right="0" w:firstLine="0"/>
                      <w:jc w:val="left"/>
                      <w:rPr>
                        <w:i/>
                        <w:sz w:val="24"/>
                      </w:rPr>
                    </w:pPr>
                    <w:r>
                      <w:rPr>
                        <w:i/>
                        <w:color w:val="000009"/>
                        <w:sz w:val="24"/>
                      </w:rPr>
                      <w:t>ROC formülü (g: hesaplanacak gün, n: periyot)</w:t>
                    </w:r>
                  </w:p>
                </w:txbxContent>
              </v:textbox>
              <w10:wrap type="none"/>
            </v:shape>
            <v:shape style="position:absolute;left:4392;top:626;width:1138;height:271" type="#_x0000_t202" filled="false" stroked="false">
              <v:textbox inset="0,0,0,0">
                <w:txbxContent>
                  <w:p>
                    <w:pPr>
                      <w:spacing w:line="271" w:lineRule="exact" w:before="0"/>
                      <w:ind w:left="0" w:right="0" w:firstLine="0"/>
                      <w:jc w:val="left"/>
                      <w:rPr>
                        <w:rFonts w:ascii="Arial Black" w:hAnsi="Arial Black"/>
                        <w:sz w:val="24"/>
                      </w:rPr>
                    </w:pPr>
                    <w:r>
                      <w:rPr>
                        <w:i/>
                        <w:sz w:val="24"/>
                      </w:rPr>
                      <w:t>fiyat </w:t>
                    </w:r>
                    <w:r>
                      <w:rPr>
                        <w:rFonts w:ascii="Arial Black" w:hAnsi="Arial Black"/>
                        <w:sz w:val="24"/>
                      </w:rPr>
                      <w:t>(</w:t>
                    </w:r>
                    <w:r>
                      <w:rPr>
                        <w:rFonts w:ascii="Arial Black" w:hAnsi="Arial Black"/>
                        <w:spacing w:val="-71"/>
                        <w:sz w:val="24"/>
                      </w:rPr>
                      <w:t> </w:t>
                    </w:r>
                    <w:r>
                      <w:rPr>
                        <w:i/>
                        <w:spacing w:val="8"/>
                        <w:sz w:val="24"/>
                      </w:rPr>
                      <w:t>g</w:t>
                    </w:r>
                    <w:r>
                      <w:rPr>
                        <w:rFonts w:ascii="Arial Black" w:hAnsi="Arial Black"/>
                        <w:spacing w:val="8"/>
                        <w:sz w:val="24"/>
                      </w:rPr>
                      <w:t>−</w:t>
                    </w:r>
                    <w:r>
                      <w:rPr>
                        <w:i/>
                        <w:spacing w:val="8"/>
                        <w:sz w:val="24"/>
                      </w:rPr>
                      <w:t>n</w:t>
                    </w:r>
                    <w:r>
                      <w:rPr>
                        <w:rFonts w:ascii="Arial Black" w:hAnsi="Arial Black"/>
                        <w:spacing w:val="8"/>
                        <w:sz w:val="24"/>
                      </w:rPr>
                      <w:t>)</w:t>
                    </w:r>
                  </w:p>
                </w:txbxContent>
              </v:textbox>
              <w10:wrap type="none"/>
            </v:shape>
            <v:shape style="position:absolute;left:2624;top:312;width:3963;height:419" type="#_x0000_t202" filled="false" stroked="false">
              <v:textbox inset="0,0,0,0">
                <w:txbxContent>
                  <w:p>
                    <w:pPr>
                      <w:spacing w:line="192" w:lineRule="auto" w:before="0"/>
                      <w:ind w:left="0" w:right="0" w:firstLine="0"/>
                      <w:jc w:val="left"/>
                      <w:rPr>
                        <w:sz w:val="24"/>
                      </w:rPr>
                    </w:pPr>
                    <w:r>
                      <w:rPr>
                        <w:i/>
                        <w:position w:val="-14"/>
                        <w:sz w:val="24"/>
                      </w:rPr>
                      <w:t>ROC</w:t>
                    </w:r>
                    <w:r>
                      <w:rPr>
                        <w:i/>
                        <w:spacing w:val="-23"/>
                        <w:position w:val="-14"/>
                        <w:sz w:val="24"/>
                      </w:rPr>
                      <w:t> </w:t>
                    </w:r>
                    <w:r>
                      <w:rPr>
                        <w:rFonts w:ascii="Arial Black" w:hAnsi="Arial Black"/>
                        <w:spacing w:val="4"/>
                        <w:position w:val="-14"/>
                        <w:sz w:val="24"/>
                      </w:rPr>
                      <w:t>(</w:t>
                    </w:r>
                    <w:r>
                      <w:rPr>
                        <w:i/>
                        <w:spacing w:val="4"/>
                        <w:position w:val="-14"/>
                        <w:sz w:val="24"/>
                      </w:rPr>
                      <w:t>g</w:t>
                    </w:r>
                    <w:r>
                      <w:rPr>
                        <w:i/>
                        <w:spacing w:val="-6"/>
                        <w:position w:val="-14"/>
                        <w:sz w:val="24"/>
                      </w:rPr>
                      <w:t> </w:t>
                    </w:r>
                    <w:r>
                      <w:rPr>
                        <w:i/>
                        <w:spacing w:val="9"/>
                        <w:position w:val="-14"/>
                        <w:sz w:val="24"/>
                      </w:rPr>
                      <w:t>,n</w:t>
                    </w:r>
                    <w:r>
                      <w:rPr>
                        <w:rFonts w:ascii="Arial Black" w:hAnsi="Arial Black"/>
                        <w:spacing w:val="9"/>
                        <w:position w:val="-14"/>
                        <w:sz w:val="24"/>
                      </w:rPr>
                      <w:t>)=</w:t>
                    </w:r>
                    <w:r>
                      <w:rPr>
                        <w:rFonts w:ascii="Arial Black" w:hAnsi="Arial Black"/>
                        <w:spacing w:val="-37"/>
                        <w:position w:val="-14"/>
                        <w:sz w:val="24"/>
                      </w:rPr>
                      <w:t> </w:t>
                    </w:r>
                    <w:r>
                      <w:rPr>
                        <w:i/>
                        <w:sz w:val="24"/>
                        <w:u w:val="single"/>
                      </w:rPr>
                      <w:t>fiyat</w:t>
                    </w:r>
                    <w:r>
                      <w:rPr>
                        <w:i/>
                        <w:spacing w:val="-32"/>
                        <w:sz w:val="24"/>
                      </w:rPr>
                      <w:t> </w:t>
                    </w:r>
                    <w:r>
                      <w:rPr>
                        <w:rFonts w:ascii="Arial Black" w:hAnsi="Arial Black"/>
                        <w:sz w:val="24"/>
                        <w:u w:val="single"/>
                      </w:rPr>
                      <w:t>(</w:t>
                    </w:r>
                    <w:r>
                      <w:rPr>
                        <w:rFonts w:ascii="Arial Black" w:hAnsi="Arial Black"/>
                        <w:spacing w:val="-51"/>
                        <w:sz w:val="24"/>
                        <w:u w:val="single"/>
                      </w:rPr>
                      <w:t> </w:t>
                    </w:r>
                    <w:r>
                      <w:rPr>
                        <w:i/>
                        <w:spacing w:val="3"/>
                        <w:sz w:val="24"/>
                        <w:u w:val="single"/>
                      </w:rPr>
                      <w:t>g</w:t>
                    </w:r>
                    <w:r>
                      <w:rPr>
                        <w:rFonts w:ascii="Arial Black" w:hAnsi="Arial Black"/>
                        <w:spacing w:val="3"/>
                        <w:sz w:val="24"/>
                        <w:u w:val="single"/>
                      </w:rPr>
                      <w:t>)−</w:t>
                    </w:r>
                    <w:r>
                      <w:rPr>
                        <w:i/>
                        <w:spacing w:val="3"/>
                        <w:sz w:val="24"/>
                        <w:u w:val="single"/>
                      </w:rPr>
                      <w:t>fiyat</w:t>
                    </w:r>
                    <w:r>
                      <w:rPr>
                        <w:i/>
                        <w:spacing w:val="-9"/>
                        <w:sz w:val="24"/>
                        <w:u w:val="single"/>
                      </w:rPr>
                      <w:t> </w:t>
                    </w:r>
                    <w:r>
                      <w:rPr>
                        <w:rFonts w:ascii="Arial Black" w:hAnsi="Arial Black"/>
                        <w:sz w:val="24"/>
                        <w:u w:val="single"/>
                      </w:rPr>
                      <w:t>(</w:t>
                    </w:r>
                    <w:r>
                      <w:rPr>
                        <w:rFonts w:ascii="Arial Black" w:hAnsi="Arial Black"/>
                        <w:spacing w:val="-54"/>
                        <w:sz w:val="24"/>
                        <w:u w:val="single"/>
                      </w:rPr>
                      <w:t> </w:t>
                    </w:r>
                    <w:r>
                      <w:rPr>
                        <w:i/>
                        <w:spacing w:val="4"/>
                        <w:sz w:val="24"/>
                        <w:u w:val="single"/>
                      </w:rPr>
                      <w:t>g</w:t>
                    </w:r>
                    <w:r>
                      <w:rPr>
                        <w:rFonts w:ascii="Arial Black" w:hAnsi="Arial Black"/>
                        <w:spacing w:val="4"/>
                        <w:sz w:val="24"/>
                        <w:u w:val="single"/>
                      </w:rPr>
                      <w:t>−</w:t>
                    </w:r>
                    <w:r>
                      <w:rPr>
                        <w:i/>
                        <w:spacing w:val="4"/>
                        <w:sz w:val="24"/>
                        <w:u w:val="single"/>
                      </w:rPr>
                      <w:t>n</w:t>
                    </w:r>
                    <w:r>
                      <w:rPr>
                        <w:rFonts w:ascii="Arial Black" w:hAnsi="Arial Black"/>
                        <w:spacing w:val="4"/>
                        <w:sz w:val="24"/>
                        <w:u w:val="single"/>
                      </w:rPr>
                      <w:t>)</w:t>
                    </w:r>
                    <w:r>
                      <w:rPr>
                        <w:rFonts w:ascii="Arial Black" w:hAnsi="Arial Black"/>
                        <w:spacing w:val="-53"/>
                        <w:sz w:val="24"/>
                      </w:rPr>
                      <w:t> </w:t>
                    </w:r>
                    <w:r>
                      <w:rPr>
                        <w:rFonts w:ascii="Arial Black" w:hAnsi="Arial Black"/>
                        <w:position w:val="-14"/>
                        <w:sz w:val="24"/>
                      </w:rPr>
                      <w:t>×</w:t>
                    </w:r>
                    <w:r>
                      <w:rPr>
                        <w:position w:val="-14"/>
                        <w:sz w:val="24"/>
                      </w:rPr>
                      <w:t>100</w:t>
                    </w:r>
                  </w:p>
                </w:txbxContent>
              </v:textbox>
              <w10:wrap type="none"/>
            </v:shape>
            <w10:wrap type="topAndBottom"/>
          </v:group>
        </w:pict>
      </w:r>
    </w:p>
    <w:p>
      <w:pPr>
        <w:pStyle w:val="BodyText"/>
        <w:rPr>
          <w:sz w:val="26"/>
        </w:rPr>
      </w:pPr>
    </w:p>
    <w:p>
      <w:pPr>
        <w:pStyle w:val="BodyText"/>
        <w:rPr>
          <w:sz w:val="26"/>
        </w:rPr>
      </w:pPr>
    </w:p>
    <w:p>
      <w:pPr>
        <w:pStyle w:val="BodyText"/>
        <w:spacing w:before="1"/>
        <w:rPr>
          <w:sz w:val="21"/>
        </w:rPr>
      </w:pPr>
    </w:p>
    <w:p>
      <w:pPr>
        <w:pStyle w:val="Heading2"/>
        <w:numPr>
          <w:ilvl w:val="1"/>
          <w:numId w:val="1"/>
        </w:numPr>
        <w:tabs>
          <w:tab w:pos="950" w:val="left" w:leader="none"/>
        </w:tabs>
        <w:spacing w:line="240" w:lineRule="auto" w:before="0" w:after="0"/>
        <w:ind w:left="950" w:right="0" w:hanging="360"/>
        <w:jc w:val="left"/>
      </w:pPr>
      <w:r>
        <w:rPr>
          <w:color w:val="000009"/>
        </w:rPr>
        <w:t>Diğer</w:t>
      </w:r>
      <w:r>
        <w:rPr>
          <w:color w:val="000009"/>
          <w:spacing w:val="-4"/>
        </w:rPr>
        <w:t> </w:t>
      </w:r>
      <w:r>
        <w:rPr>
          <w:color w:val="000009"/>
        </w:rPr>
        <w:t>Girdiler</w:t>
      </w:r>
    </w:p>
    <w:p>
      <w:pPr>
        <w:pStyle w:val="BodyText"/>
        <w:rPr>
          <w:b/>
          <w:sz w:val="26"/>
        </w:rPr>
      </w:pPr>
    </w:p>
    <w:p>
      <w:pPr>
        <w:pStyle w:val="BodyText"/>
        <w:spacing w:line="360" w:lineRule="auto" w:before="199"/>
        <w:ind w:left="590" w:right="1419"/>
        <w:jc w:val="both"/>
      </w:pPr>
      <w:r>
        <w:rPr>
          <w:color w:val="000009"/>
        </w:rPr>
        <w:t>Opsiyonun fiyatını (işlemin maliyetini) etkileyen etmenlerden biri de opsiyonun kullanma tarihine kadar olan gün sayısıdır. Örneğin bugün 46,19$ olan Intel hissesini</w:t>
      </w:r>
    </w:p>
    <w:p>
      <w:pPr>
        <w:pStyle w:val="BodyText"/>
        <w:spacing w:line="360" w:lineRule="auto"/>
        <w:ind w:left="590" w:right="1419"/>
        <w:jc w:val="both"/>
      </w:pPr>
      <w:r>
        <w:rPr>
          <w:color w:val="000009"/>
        </w:rPr>
        <w:t>5 gün sonra 46,00$’dan alma opsiyonu 0,80$ iken 2 ay sonra 46,00’dan alma opsiyonu 2,45$’dır. Günümüzde her hafta için (bazı ETF’ler için haftada 2) opsiyon bulunabilirken eğitim ve testte kullanılan eski günlerde sadece aylık opsiyonlar bulunmaktadır. Bu nedenle satın alınan opsiyonların geçerlilik süreleri (ve dolayısıyla maliyetleri) çok değişebilmektedir. Örneğin en yakın tarihli opsiyon alınmak istendiğinde bu 1 günlük veya 29 günlük olabilir. Opsiyonun kaç günlük olduğu performansı etkileyeceği için bu da girdi olarak </w:t>
      </w:r>
      <w:r>
        <w:rPr>
          <w:color w:val="000009"/>
          <w:spacing w:val="-5"/>
        </w:rPr>
        <w:t>YSA’ya</w:t>
      </w:r>
      <w:r>
        <w:rPr>
          <w:color w:val="000009"/>
          <w:spacing w:val="-21"/>
        </w:rPr>
        <w:t> </w:t>
      </w:r>
      <w:r>
        <w:rPr>
          <w:color w:val="000009"/>
        </w:rPr>
        <w:t>verilmiştir.</w:t>
      </w:r>
    </w:p>
    <w:p>
      <w:pPr>
        <w:pStyle w:val="BodyText"/>
        <w:rPr>
          <w:sz w:val="26"/>
        </w:rPr>
      </w:pPr>
    </w:p>
    <w:p>
      <w:pPr>
        <w:pStyle w:val="Heading2"/>
        <w:numPr>
          <w:ilvl w:val="1"/>
          <w:numId w:val="1"/>
        </w:numPr>
        <w:tabs>
          <w:tab w:pos="950" w:val="left" w:leader="none"/>
        </w:tabs>
        <w:spacing w:line="240" w:lineRule="auto" w:before="182" w:after="0"/>
        <w:ind w:left="950" w:right="0" w:hanging="360"/>
        <w:jc w:val="left"/>
      </w:pPr>
      <w:r>
        <w:rPr>
          <w:color w:val="000009"/>
          <w:spacing w:val="-6"/>
        </w:rPr>
        <w:t>Yapay </w:t>
      </w:r>
      <w:r>
        <w:rPr>
          <w:color w:val="000009"/>
        </w:rPr>
        <w:t>Sinir Ağı</w:t>
      </w:r>
      <w:r>
        <w:rPr>
          <w:color w:val="000009"/>
          <w:spacing w:val="-13"/>
        </w:rPr>
        <w:t> </w:t>
      </w:r>
      <w:r>
        <w:rPr>
          <w:color w:val="000009"/>
        </w:rPr>
        <w:t>Modeli</w:t>
      </w:r>
    </w:p>
    <w:p>
      <w:pPr>
        <w:pStyle w:val="BodyText"/>
        <w:rPr>
          <w:b/>
          <w:sz w:val="26"/>
        </w:rPr>
      </w:pPr>
    </w:p>
    <w:p>
      <w:pPr>
        <w:pStyle w:val="BodyText"/>
        <w:spacing w:line="360" w:lineRule="auto" w:before="199"/>
        <w:ind w:left="590" w:right="1418"/>
        <w:jc w:val="both"/>
      </w:pPr>
      <w:r>
        <w:rPr>
          <w:color w:val="000009"/>
        </w:rPr>
        <w:t>Geliştirilen modelde WEKA kütüphanesindeki çok katmanlı algılayıcı (multilayer perceptron) kullanılmıştır. Girdi ve çıktı katmanlarına 2 gizli katman eklenmiştir. Öğrenme oranı (learning rate) 0,3, momentum 0,2 verilmiştir. Sınırları belli olan göstergeler (RSI, Williams %R) 0-1 aralığına normalize edilmiştir. 3 yıllık veri eğitim, 1 yıllık veri test için kullanılmıştır.</w:t>
      </w:r>
    </w:p>
    <w:p>
      <w:pPr>
        <w:spacing w:after="0" w:line="360" w:lineRule="auto"/>
        <w:jc w:val="both"/>
        <w:sectPr>
          <w:pgSz w:w="11910" w:h="16840"/>
          <w:pgMar w:header="0" w:footer="1050" w:top="1580" w:bottom="1240" w:left="1680" w:right="0"/>
        </w:sectPr>
      </w:pPr>
    </w:p>
    <w:p>
      <w:pPr>
        <w:pStyle w:val="Heading2"/>
        <w:numPr>
          <w:ilvl w:val="1"/>
          <w:numId w:val="1"/>
        </w:numPr>
        <w:tabs>
          <w:tab w:pos="950" w:val="left" w:leader="none"/>
        </w:tabs>
        <w:spacing w:line="240" w:lineRule="auto" w:before="64" w:after="0"/>
        <w:ind w:left="950" w:right="0" w:hanging="360"/>
        <w:jc w:val="left"/>
      </w:pPr>
      <w:r>
        <w:rPr>
          <w:color w:val="000009"/>
        </w:rPr>
        <w:t>Sonuçlar</w:t>
      </w:r>
    </w:p>
    <w:p>
      <w:pPr>
        <w:pStyle w:val="BodyText"/>
        <w:rPr>
          <w:b/>
          <w:sz w:val="26"/>
        </w:rPr>
      </w:pPr>
    </w:p>
    <w:p>
      <w:pPr>
        <w:pStyle w:val="BodyText"/>
        <w:spacing w:line="360" w:lineRule="auto" w:before="199"/>
        <w:ind w:left="590" w:right="1424"/>
        <w:jc w:val="both"/>
      </w:pPr>
      <w:r>
        <w:rPr>
          <w:color w:val="000009"/>
        </w:rPr>
        <w:t>4 farklı ETF (SPY, SPX, NDX, RUT), 7 farklı eğitim-test dönemi ile yapılan denemeler sonucunda başarılı bir sonuç elde edilememiştir.</w:t>
      </w:r>
    </w:p>
    <w:p>
      <w:pPr>
        <w:pStyle w:val="BodyText"/>
        <w:spacing w:before="5" w:after="1"/>
        <w:rPr>
          <w:sz w:val="10"/>
        </w:rPr>
      </w:pPr>
    </w:p>
    <w:tbl>
      <w:tblPr>
        <w:tblW w:w="0" w:type="auto"/>
        <w:jc w:val="left"/>
        <w:tblInd w:w="5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16"/>
        <w:gridCol w:w="1488"/>
        <w:gridCol w:w="2400"/>
        <w:gridCol w:w="1686"/>
        <w:gridCol w:w="1934"/>
      </w:tblGrid>
      <w:tr>
        <w:trPr>
          <w:trHeight w:val="336" w:hRule="atLeast"/>
        </w:trPr>
        <w:tc>
          <w:tcPr>
            <w:tcW w:w="716" w:type="dxa"/>
          </w:tcPr>
          <w:p>
            <w:pPr>
              <w:pStyle w:val="TableParagraph"/>
              <w:spacing w:before="53"/>
              <w:ind w:left="164" w:right="0"/>
              <w:jc w:val="left"/>
              <w:rPr>
                <w:b/>
                <w:sz w:val="20"/>
              </w:rPr>
            </w:pPr>
            <w:r>
              <w:rPr>
                <w:b/>
                <w:color w:val="000009"/>
                <w:sz w:val="20"/>
              </w:rPr>
              <w:t>ETF</w:t>
            </w:r>
          </w:p>
        </w:tc>
        <w:tc>
          <w:tcPr>
            <w:tcW w:w="1488" w:type="dxa"/>
          </w:tcPr>
          <w:p>
            <w:pPr>
              <w:pStyle w:val="TableParagraph"/>
              <w:spacing w:before="53"/>
              <w:ind w:left="191" w:right="0"/>
              <w:jc w:val="left"/>
              <w:rPr>
                <w:b/>
                <w:sz w:val="20"/>
              </w:rPr>
            </w:pPr>
            <w:r>
              <w:rPr>
                <w:b/>
                <w:color w:val="000009"/>
                <w:sz w:val="20"/>
              </w:rPr>
              <w:t>Ort. Yıl. Kâr</w:t>
            </w:r>
          </w:p>
        </w:tc>
        <w:tc>
          <w:tcPr>
            <w:tcW w:w="2400" w:type="dxa"/>
          </w:tcPr>
          <w:p>
            <w:pPr>
              <w:pStyle w:val="TableParagraph"/>
              <w:spacing w:before="53"/>
              <w:ind w:left="177" w:right="0"/>
              <w:jc w:val="left"/>
              <w:rPr>
                <w:b/>
                <w:sz w:val="20"/>
              </w:rPr>
            </w:pPr>
            <w:r>
              <w:rPr>
                <w:b/>
                <w:color w:val="000009"/>
                <w:sz w:val="20"/>
              </w:rPr>
              <w:t>Ort. Pozitif İşlem Oranı</w:t>
            </w:r>
          </w:p>
        </w:tc>
        <w:tc>
          <w:tcPr>
            <w:tcW w:w="1686" w:type="dxa"/>
          </w:tcPr>
          <w:p>
            <w:pPr>
              <w:pStyle w:val="TableParagraph"/>
              <w:spacing w:before="53"/>
              <w:ind w:right="108"/>
              <w:rPr>
                <w:b/>
                <w:sz w:val="20"/>
              </w:rPr>
            </w:pPr>
            <w:r>
              <w:rPr>
                <w:b/>
                <w:color w:val="000009"/>
                <w:sz w:val="20"/>
              </w:rPr>
              <w:t>Ort. İşlem Süresi</w:t>
            </w:r>
          </w:p>
        </w:tc>
        <w:tc>
          <w:tcPr>
            <w:tcW w:w="1934" w:type="dxa"/>
          </w:tcPr>
          <w:p>
            <w:pPr>
              <w:pStyle w:val="TableParagraph"/>
              <w:spacing w:before="53"/>
              <w:ind w:left="181" w:right="0"/>
              <w:jc w:val="left"/>
              <w:rPr>
                <w:b/>
                <w:sz w:val="20"/>
              </w:rPr>
            </w:pPr>
            <w:r>
              <w:rPr>
                <w:b/>
                <w:color w:val="000009"/>
                <w:sz w:val="20"/>
              </w:rPr>
              <w:t>Ort. Yıl. İşl. Sayısı</w:t>
            </w:r>
          </w:p>
        </w:tc>
      </w:tr>
      <w:tr>
        <w:trPr>
          <w:trHeight w:val="337" w:hRule="atLeast"/>
        </w:trPr>
        <w:tc>
          <w:tcPr>
            <w:tcW w:w="716" w:type="dxa"/>
          </w:tcPr>
          <w:p>
            <w:pPr>
              <w:pStyle w:val="TableParagraph"/>
              <w:spacing w:before="53"/>
              <w:ind w:left="55" w:right="0"/>
              <w:jc w:val="left"/>
              <w:rPr>
                <w:sz w:val="20"/>
              </w:rPr>
            </w:pPr>
            <w:r>
              <w:rPr>
                <w:color w:val="000009"/>
                <w:sz w:val="20"/>
              </w:rPr>
              <w:t>SPY</w:t>
            </w:r>
          </w:p>
        </w:tc>
        <w:tc>
          <w:tcPr>
            <w:tcW w:w="1488" w:type="dxa"/>
          </w:tcPr>
          <w:p>
            <w:pPr>
              <w:pStyle w:val="TableParagraph"/>
              <w:spacing w:before="53"/>
              <w:ind w:right="47"/>
              <w:rPr>
                <w:sz w:val="20"/>
              </w:rPr>
            </w:pPr>
            <w:r>
              <w:rPr>
                <w:color w:val="000009"/>
                <w:sz w:val="20"/>
              </w:rPr>
              <w:t>%-20,88</w:t>
            </w:r>
          </w:p>
        </w:tc>
        <w:tc>
          <w:tcPr>
            <w:tcW w:w="2400" w:type="dxa"/>
          </w:tcPr>
          <w:p>
            <w:pPr>
              <w:pStyle w:val="TableParagraph"/>
              <w:spacing w:before="53"/>
              <w:ind w:right="50"/>
              <w:rPr>
                <w:sz w:val="20"/>
              </w:rPr>
            </w:pPr>
            <w:r>
              <w:rPr>
                <w:color w:val="000009"/>
                <w:sz w:val="20"/>
              </w:rPr>
              <w:t>%19,05</w:t>
            </w:r>
          </w:p>
        </w:tc>
        <w:tc>
          <w:tcPr>
            <w:tcW w:w="1686" w:type="dxa"/>
          </w:tcPr>
          <w:p>
            <w:pPr>
              <w:pStyle w:val="TableParagraph"/>
              <w:spacing w:before="53"/>
              <w:ind w:right="48"/>
              <w:rPr>
                <w:sz w:val="20"/>
              </w:rPr>
            </w:pPr>
            <w:r>
              <w:rPr>
                <w:color w:val="000009"/>
                <w:sz w:val="20"/>
              </w:rPr>
              <w:t>6,05</w:t>
            </w:r>
          </w:p>
        </w:tc>
        <w:tc>
          <w:tcPr>
            <w:tcW w:w="1934" w:type="dxa"/>
          </w:tcPr>
          <w:p>
            <w:pPr>
              <w:pStyle w:val="TableParagraph"/>
              <w:spacing w:before="53"/>
              <w:ind w:right="48"/>
              <w:rPr>
                <w:sz w:val="20"/>
              </w:rPr>
            </w:pPr>
            <w:r>
              <w:rPr>
                <w:color w:val="000009"/>
                <w:sz w:val="20"/>
              </w:rPr>
              <w:t>21</w:t>
            </w:r>
          </w:p>
        </w:tc>
      </w:tr>
      <w:tr>
        <w:trPr>
          <w:trHeight w:val="337" w:hRule="atLeast"/>
        </w:trPr>
        <w:tc>
          <w:tcPr>
            <w:tcW w:w="716" w:type="dxa"/>
          </w:tcPr>
          <w:p>
            <w:pPr>
              <w:pStyle w:val="TableParagraph"/>
              <w:spacing w:before="53"/>
              <w:ind w:left="55" w:right="0"/>
              <w:jc w:val="left"/>
              <w:rPr>
                <w:sz w:val="20"/>
              </w:rPr>
            </w:pPr>
            <w:r>
              <w:rPr>
                <w:color w:val="000009"/>
                <w:sz w:val="20"/>
              </w:rPr>
              <w:t>SPX</w:t>
            </w:r>
          </w:p>
        </w:tc>
        <w:tc>
          <w:tcPr>
            <w:tcW w:w="1488" w:type="dxa"/>
          </w:tcPr>
          <w:p>
            <w:pPr>
              <w:pStyle w:val="TableParagraph"/>
              <w:spacing w:before="53"/>
              <w:ind w:right="47"/>
              <w:rPr>
                <w:sz w:val="20"/>
              </w:rPr>
            </w:pPr>
            <w:r>
              <w:rPr>
                <w:color w:val="000009"/>
                <w:sz w:val="20"/>
              </w:rPr>
              <w:t>%-26,76</w:t>
            </w:r>
          </w:p>
        </w:tc>
        <w:tc>
          <w:tcPr>
            <w:tcW w:w="2400" w:type="dxa"/>
          </w:tcPr>
          <w:p>
            <w:pPr>
              <w:pStyle w:val="TableParagraph"/>
              <w:spacing w:before="53"/>
              <w:ind w:right="50"/>
              <w:rPr>
                <w:sz w:val="20"/>
              </w:rPr>
            </w:pPr>
            <w:r>
              <w:rPr>
                <w:color w:val="000009"/>
                <w:sz w:val="20"/>
              </w:rPr>
              <w:t>%40,31</w:t>
            </w:r>
          </w:p>
        </w:tc>
        <w:tc>
          <w:tcPr>
            <w:tcW w:w="1686" w:type="dxa"/>
          </w:tcPr>
          <w:p>
            <w:pPr>
              <w:pStyle w:val="TableParagraph"/>
              <w:spacing w:before="53"/>
              <w:ind w:right="48"/>
              <w:rPr>
                <w:sz w:val="20"/>
              </w:rPr>
            </w:pPr>
            <w:r>
              <w:rPr>
                <w:color w:val="000009"/>
                <w:sz w:val="20"/>
              </w:rPr>
              <w:t>16,24</w:t>
            </w:r>
          </w:p>
        </w:tc>
        <w:tc>
          <w:tcPr>
            <w:tcW w:w="1934" w:type="dxa"/>
          </w:tcPr>
          <w:p>
            <w:pPr>
              <w:pStyle w:val="TableParagraph"/>
              <w:spacing w:before="53"/>
              <w:ind w:right="48"/>
              <w:rPr>
                <w:sz w:val="20"/>
              </w:rPr>
            </w:pPr>
            <w:r>
              <w:rPr>
                <w:color w:val="000009"/>
                <w:sz w:val="20"/>
              </w:rPr>
              <w:t>20,71</w:t>
            </w:r>
          </w:p>
        </w:tc>
      </w:tr>
      <w:tr>
        <w:trPr>
          <w:trHeight w:val="337" w:hRule="atLeast"/>
        </w:trPr>
        <w:tc>
          <w:tcPr>
            <w:tcW w:w="716" w:type="dxa"/>
          </w:tcPr>
          <w:p>
            <w:pPr>
              <w:pStyle w:val="TableParagraph"/>
              <w:spacing w:before="53"/>
              <w:ind w:left="55" w:right="0"/>
              <w:jc w:val="left"/>
              <w:rPr>
                <w:sz w:val="20"/>
              </w:rPr>
            </w:pPr>
            <w:r>
              <w:rPr>
                <w:color w:val="000009"/>
                <w:sz w:val="20"/>
              </w:rPr>
              <w:t>NDX</w:t>
            </w:r>
          </w:p>
        </w:tc>
        <w:tc>
          <w:tcPr>
            <w:tcW w:w="1488" w:type="dxa"/>
          </w:tcPr>
          <w:p>
            <w:pPr>
              <w:pStyle w:val="TableParagraph"/>
              <w:spacing w:before="53"/>
              <w:ind w:right="47"/>
              <w:rPr>
                <w:sz w:val="20"/>
              </w:rPr>
            </w:pPr>
            <w:r>
              <w:rPr>
                <w:color w:val="000009"/>
                <w:sz w:val="20"/>
              </w:rPr>
              <w:t>%-46,23</w:t>
            </w:r>
          </w:p>
        </w:tc>
        <w:tc>
          <w:tcPr>
            <w:tcW w:w="2400" w:type="dxa"/>
          </w:tcPr>
          <w:p>
            <w:pPr>
              <w:pStyle w:val="TableParagraph"/>
              <w:spacing w:before="53"/>
              <w:ind w:right="50"/>
              <w:rPr>
                <w:sz w:val="20"/>
              </w:rPr>
            </w:pPr>
            <w:r>
              <w:rPr>
                <w:color w:val="000009"/>
                <w:sz w:val="20"/>
              </w:rPr>
              <w:t>%29,39</w:t>
            </w:r>
          </w:p>
        </w:tc>
        <w:tc>
          <w:tcPr>
            <w:tcW w:w="1686" w:type="dxa"/>
          </w:tcPr>
          <w:p>
            <w:pPr>
              <w:pStyle w:val="TableParagraph"/>
              <w:spacing w:before="53"/>
              <w:ind w:right="48"/>
              <w:rPr>
                <w:sz w:val="20"/>
              </w:rPr>
            </w:pPr>
            <w:r>
              <w:rPr>
                <w:color w:val="000009"/>
                <w:sz w:val="20"/>
              </w:rPr>
              <w:t>8,11</w:t>
            </w:r>
          </w:p>
        </w:tc>
        <w:tc>
          <w:tcPr>
            <w:tcW w:w="1934" w:type="dxa"/>
          </w:tcPr>
          <w:p>
            <w:pPr>
              <w:pStyle w:val="TableParagraph"/>
              <w:spacing w:before="53"/>
              <w:ind w:right="48"/>
              <w:rPr>
                <w:sz w:val="20"/>
              </w:rPr>
            </w:pPr>
            <w:r>
              <w:rPr>
                <w:color w:val="000009"/>
                <w:sz w:val="20"/>
              </w:rPr>
              <w:t>23</w:t>
            </w:r>
          </w:p>
        </w:tc>
      </w:tr>
      <w:tr>
        <w:trPr>
          <w:trHeight w:val="337" w:hRule="atLeast"/>
        </w:trPr>
        <w:tc>
          <w:tcPr>
            <w:tcW w:w="716" w:type="dxa"/>
          </w:tcPr>
          <w:p>
            <w:pPr>
              <w:pStyle w:val="TableParagraph"/>
              <w:spacing w:before="53"/>
              <w:ind w:left="55" w:right="0"/>
              <w:jc w:val="left"/>
              <w:rPr>
                <w:sz w:val="20"/>
              </w:rPr>
            </w:pPr>
            <w:r>
              <w:rPr>
                <w:color w:val="000009"/>
                <w:sz w:val="20"/>
              </w:rPr>
              <w:t>RUT</w:t>
            </w:r>
          </w:p>
        </w:tc>
        <w:tc>
          <w:tcPr>
            <w:tcW w:w="1488" w:type="dxa"/>
          </w:tcPr>
          <w:p>
            <w:pPr>
              <w:pStyle w:val="TableParagraph"/>
              <w:spacing w:before="53"/>
              <w:ind w:right="47"/>
              <w:rPr>
                <w:sz w:val="20"/>
              </w:rPr>
            </w:pPr>
            <w:r>
              <w:rPr>
                <w:color w:val="000009"/>
                <w:sz w:val="20"/>
              </w:rPr>
              <w:t>%-42,45</w:t>
            </w:r>
          </w:p>
        </w:tc>
        <w:tc>
          <w:tcPr>
            <w:tcW w:w="2400" w:type="dxa"/>
          </w:tcPr>
          <w:p>
            <w:pPr>
              <w:pStyle w:val="TableParagraph"/>
              <w:spacing w:before="53"/>
              <w:ind w:right="50"/>
              <w:rPr>
                <w:sz w:val="20"/>
              </w:rPr>
            </w:pPr>
            <w:r>
              <w:rPr>
                <w:color w:val="000009"/>
                <w:sz w:val="20"/>
              </w:rPr>
              <w:t>%24,63</w:t>
            </w:r>
          </w:p>
        </w:tc>
        <w:tc>
          <w:tcPr>
            <w:tcW w:w="1686" w:type="dxa"/>
          </w:tcPr>
          <w:p>
            <w:pPr>
              <w:pStyle w:val="TableParagraph"/>
              <w:spacing w:before="53"/>
              <w:ind w:right="48"/>
              <w:rPr>
                <w:sz w:val="20"/>
              </w:rPr>
            </w:pPr>
            <w:r>
              <w:rPr>
                <w:color w:val="000009"/>
                <w:sz w:val="20"/>
              </w:rPr>
              <w:t>8,5</w:t>
            </w:r>
          </w:p>
        </w:tc>
        <w:tc>
          <w:tcPr>
            <w:tcW w:w="1934" w:type="dxa"/>
          </w:tcPr>
          <w:p>
            <w:pPr>
              <w:pStyle w:val="TableParagraph"/>
              <w:spacing w:before="53"/>
              <w:ind w:right="48"/>
              <w:rPr>
                <w:sz w:val="20"/>
              </w:rPr>
            </w:pPr>
            <w:r>
              <w:rPr>
                <w:color w:val="000009"/>
                <w:sz w:val="20"/>
              </w:rPr>
              <w:t>22,29</w:t>
            </w:r>
          </w:p>
        </w:tc>
      </w:tr>
    </w:tbl>
    <w:p>
      <w:pPr>
        <w:spacing w:before="120"/>
        <w:ind w:left="590" w:right="0" w:firstLine="0"/>
        <w:jc w:val="left"/>
        <w:rPr>
          <w:i/>
          <w:sz w:val="24"/>
        </w:rPr>
      </w:pPr>
      <w:r>
        <w:rPr>
          <w:i/>
          <w:color w:val="000009"/>
          <w:sz w:val="24"/>
        </w:rPr>
        <w:t>Tablo 1: YSA Desktekli Opsiyon Stratejisi Sonuçları</w:t>
      </w:r>
    </w:p>
    <w:p>
      <w:pPr>
        <w:pStyle w:val="BodyText"/>
        <w:rPr>
          <w:i/>
          <w:sz w:val="26"/>
        </w:rPr>
      </w:pPr>
    </w:p>
    <w:p>
      <w:pPr>
        <w:pStyle w:val="Heading2"/>
        <w:numPr>
          <w:ilvl w:val="1"/>
          <w:numId w:val="1"/>
        </w:numPr>
        <w:tabs>
          <w:tab w:pos="950" w:val="left" w:leader="none"/>
        </w:tabs>
        <w:spacing w:line="240" w:lineRule="auto" w:before="181" w:after="0"/>
        <w:ind w:left="950" w:right="0" w:hanging="360"/>
        <w:jc w:val="left"/>
      </w:pPr>
      <w:r>
        <w:rPr>
          <w:color w:val="000009"/>
          <w:spacing w:val="-4"/>
        </w:rPr>
        <w:t>Yapılacak</w:t>
      </w:r>
      <w:r>
        <w:rPr>
          <w:color w:val="000009"/>
        </w:rPr>
        <w:t> İyileştirmeler</w:t>
      </w:r>
    </w:p>
    <w:p>
      <w:pPr>
        <w:pStyle w:val="BodyText"/>
        <w:rPr>
          <w:b/>
          <w:sz w:val="26"/>
        </w:rPr>
      </w:pPr>
    </w:p>
    <w:p>
      <w:pPr>
        <w:pStyle w:val="BodyText"/>
        <w:spacing w:before="9"/>
        <w:rPr>
          <w:b/>
          <w:sz w:val="27"/>
        </w:rPr>
      </w:pPr>
    </w:p>
    <w:p>
      <w:pPr>
        <w:pStyle w:val="ListParagraph"/>
        <w:numPr>
          <w:ilvl w:val="2"/>
          <w:numId w:val="1"/>
        </w:numPr>
        <w:tabs>
          <w:tab w:pos="1698" w:val="left" w:leader="none"/>
        </w:tabs>
        <w:spacing w:line="240" w:lineRule="auto" w:before="0" w:after="0"/>
        <w:ind w:left="1698" w:right="0" w:hanging="540"/>
        <w:jc w:val="left"/>
        <w:rPr>
          <w:b/>
          <w:sz w:val="24"/>
        </w:rPr>
      </w:pPr>
      <w:r>
        <w:rPr>
          <w:b/>
          <w:color w:val="000009"/>
          <w:sz w:val="24"/>
        </w:rPr>
        <w:t>Daha az alım-satım</w:t>
      </w:r>
      <w:r>
        <w:rPr>
          <w:b/>
          <w:color w:val="000009"/>
          <w:spacing w:val="-2"/>
          <w:sz w:val="24"/>
        </w:rPr>
        <w:t> </w:t>
      </w:r>
      <w:r>
        <w:rPr>
          <w:b/>
          <w:color w:val="000009"/>
          <w:sz w:val="24"/>
        </w:rPr>
        <w:t>noktası</w:t>
      </w:r>
    </w:p>
    <w:p>
      <w:pPr>
        <w:pStyle w:val="BodyText"/>
        <w:spacing w:before="10"/>
        <w:rPr>
          <w:b/>
          <w:sz w:val="32"/>
        </w:rPr>
      </w:pPr>
    </w:p>
    <w:p>
      <w:pPr>
        <w:pStyle w:val="BodyText"/>
        <w:spacing w:line="360" w:lineRule="auto"/>
        <w:ind w:left="590" w:right="1419"/>
        <w:jc w:val="both"/>
      </w:pPr>
      <w:r>
        <w:rPr>
          <w:color w:val="000009"/>
        </w:rPr>
        <w:t>Strateji başlatmak – bitirmek için için 3 farklı yöntem denenmiştir. İlk yöntemde her gün eğer başlatılmış bir strateji yoksa yeni bir strateji başlatılmış ve opsiyonun kullanma tarihi gelene kadar yeni bir strateji başlatılmadan beklenmiştir. İkinci yöntemde her gün mutlaka yeni bir strateji başlatılmış ve her birinin bitiş tarihi gelene kadar bekletilmiştir. Son yöntemde ise her gün YSA tarafından önerilen strateji ile en son başlatılan strateji karşılaştırılmıştır. Eğer ikisi aynıysa bir şey yapılmamış, farklıysa önceki strateji sonlandırılarak yeni strateji başlatılmıştır. </w:t>
      </w:r>
      <w:r>
        <w:rPr>
          <w:color w:val="000009"/>
          <w:spacing w:val="-4"/>
        </w:rPr>
        <w:t>(Ayrıca </w:t>
      </w:r>
      <w:r>
        <w:rPr>
          <w:color w:val="000009"/>
        </w:rPr>
        <w:t>her 3 modelde de çeşitli kâr durdur – zarar durdur limitleri</w:t>
      </w:r>
      <w:r>
        <w:rPr>
          <w:color w:val="000009"/>
          <w:spacing w:val="-10"/>
        </w:rPr>
        <w:t> </w:t>
      </w:r>
      <w:r>
        <w:rPr>
          <w:color w:val="000009"/>
        </w:rPr>
        <w:t>denenmiştir.)</w:t>
      </w:r>
    </w:p>
    <w:p>
      <w:pPr>
        <w:pStyle w:val="BodyText"/>
        <w:spacing w:before="10"/>
        <w:rPr>
          <w:sz w:val="20"/>
        </w:rPr>
      </w:pPr>
    </w:p>
    <w:p>
      <w:pPr>
        <w:pStyle w:val="BodyText"/>
        <w:spacing w:line="360" w:lineRule="auto"/>
        <w:ind w:left="590" w:right="1415"/>
        <w:jc w:val="both"/>
      </w:pPr>
      <w:r>
        <w:rPr>
          <w:color w:val="000009"/>
        </w:rPr>
        <w:t>Finansal varlıkların kendilerinin alınıp satıldığı modellerde ise çok daha az sayıda strateji başlatma-bitirme noktası kullanılmaktadır. Aradaki bu farkın zarara yol açtığı düşünüldüğü için her gün bir opsiyon stratejisi başlatmaya zorlamayacak (sinyal sayısını azaltacak) bir iyileştirme üzerine çalışılacaktır.</w:t>
      </w:r>
    </w:p>
    <w:p>
      <w:pPr>
        <w:pStyle w:val="BodyText"/>
        <w:spacing w:before="4"/>
        <w:rPr>
          <w:sz w:val="31"/>
        </w:rPr>
      </w:pPr>
    </w:p>
    <w:p>
      <w:pPr>
        <w:pStyle w:val="Heading2"/>
        <w:numPr>
          <w:ilvl w:val="2"/>
          <w:numId w:val="1"/>
        </w:numPr>
        <w:tabs>
          <w:tab w:pos="1698" w:val="left" w:leader="none"/>
        </w:tabs>
        <w:spacing w:line="240" w:lineRule="auto" w:before="0" w:after="0"/>
        <w:ind w:left="1698" w:right="0" w:hanging="540"/>
        <w:jc w:val="left"/>
      </w:pPr>
      <w:r>
        <w:rPr>
          <w:color w:val="000009"/>
        </w:rPr>
        <w:t>Daha fazla opsiyon parametresi</w:t>
      </w:r>
    </w:p>
    <w:p>
      <w:pPr>
        <w:pStyle w:val="BodyText"/>
        <w:spacing w:before="10"/>
        <w:rPr>
          <w:b/>
          <w:sz w:val="32"/>
        </w:rPr>
      </w:pPr>
    </w:p>
    <w:p>
      <w:pPr>
        <w:pStyle w:val="BodyText"/>
        <w:spacing w:line="360" w:lineRule="auto"/>
        <w:ind w:left="590" w:right="1414"/>
        <w:jc w:val="both"/>
      </w:pPr>
      <w:r>
        <w:rPr>
          <w:color w:val="000009"/>
        </w:rPr>
        <w:t>Opsiyon fiyatları genellikle tam sayılar olmaktadır. Örneğin varlık fiyatına en yakın fiyatlı opsiyonun alınması gerekiyorsa, varlık fiyatı 99,51$ olduğunda da 100,49$ olduğunda da 100$’dan satın alma hakkının alınması gerekmektedir. Bu iki durum</w:t>
      </w:r>
    </w:p>
    <w:p>
      <w:pPr>
        <w:spacing w:after="0" w:line="360" w:lineRule="auto"/>
        <w:jc w:val="both"/>
        <w:sectPr>
          <w:pgSz w:w="11910" w:h="16840"/>
          <w:pgMar w:header="0" w:footer="1050" w:top="1340" w:bottom="1240" w:left="1680" w:right="0"/>
        </w:sectPr>
      </w:pPr>
    </w:p>
    <w:p>
      <w:pPr>
        <w:pStyle w:val="BodyText"/>
        <w:spacing w:line="360" w:lineRule="auto" w:before="64"/>
        <w:ind w:left="590" w:right="1416"/>
        <w:jc w:val="both"/>
      </w:pPr>
      <w:r>
        <w:rPr>
          <w:color w:val="000009"/>
        </w:rPr>
        <w:t>(varlık fiyatının 99,51$ veya 100,49$ olması) birbirinden farklı olsa da aynı strateji uygulanmakta ve farklı sonuçlar elde edilmektedir.</w:t>
      </w:r>
    </w:p>
    <w:p>
      <w:pPr>
        <w:pStyle w:val="BodyText"/>
        <w:spacing w:before="10"/>
        <w:rPr>
          <w:sz w:val="20"/>
        </w:rPr>
      </w:pPr>
    </w:p>
    <w:p>
      <w:pPr>
        <w:pStyle w:val="BodyText"/>
        <w:spacing w:line="360" w:lineRule="auto"/>
        <w:ind w:left="590" w:right="1416"/>
        <w:jc w:val="both"/>
      </w:pPr>
      <w:r>
        <w:rPr>
          <w:color w:val="000009"/>
        </w:rPr>
        <w:t>Benzer şekilde opsiyon fiyatı aynı olsa da ödenen para farklı olabilmektedir. Opsiyona ödenen para, varlığın fiyatındaki oynaklık ve geçerlilik süresine göre değişmektedir. Örneğin fiyatı 100$ olan bir varlığı 1 ay sonra 100$’dan satın alma hakkı oynaklık yüksekse 2$, düşükse 1$ olabilir.</w:t>
      </w:r>
    </w:p>
    <w:p>
      <w:pPr>
        <w:pStyle w:val="BodyText"/>
        <w:spacing w:before="10"/>
        <w:rPr>
          <w:sz w:val="20"/>
        </w:rPr>
      </w:pPr>
    </w:p>
    <w:p>
      <w:pPr>
        <w:pStyle w:val="BodyText"/>
        <w:spacing w:line="360" w:lineRule="auto"/>
        <w:ind w:left="590" w:right="1418"/>
        <w:jc w:val="both"/>
      </w:pPr>
      <w:r>
        <w:rPr>
          <w:color w:val="000009"/>
        </w:rPr>
        <w:t>Bu 2 farklılık geliştirilen modele girdi olarak verilmemiştir. Çünkü uygulanan stratejiye göre kullanılan opsiyon sayısı değişmektedir (Long call ve long Put stratejilerinde 1, spread stratejilerinde 2, butterfly stratejisinde 3 farklı opsiyon kullanılmaktadır). Gelecek çalışmalarda 5 strateji için tek YSA modeli geliştirmek yerine her bir strateji için 1 YSA modeli geliştirilerek bu parametrelerin de girdi olarak eklenmesine çalışılacaktır.</w:t>
      </w:r>
    </w:p>
    <w:p>
      <w:pPr>
        <w:spacing w:after="0" w:line="360" w:lineRule="auto"/>
        <w:jc w:val="both"/>
        <w:sectPr>
          <w:pgSz w:w="11910" w:h="16840"/>
          <w:pgMar w:header="0" w:footer="1050" w:top="1340" w:bottom="1240" w:left="16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pStyle w:val="Heading2"/>
        <w:numPr>
          <w:ilvl w:val="0"/>
          <w:numId w:val="1"/>
        </w:numPr>
        <w:tabs>
          <w:tab w:pos="890" w:val="left" w:leader="none"/>
        </w:tabs>
        <w:spacing w:line="360" w:lineRule="auto" w:before="90" w:after="0"/>
        <w:ind w:left="590" w:right="1541" w:firstLine="0"/>
        <w:jc w:val="left"/>
      </w:pPr>
      <w:r>
        <w:rPr>
          <w:color w:val="000009"/>
        </w:rPr>
        <w:t>KONVOLÜSYONEL</w:t>
      </w:r>
      <w:r>
        <w:rPr>
          <w:color w:val="000009"/>
          <w:spacing w:val="-17"/>
        </w:rPr>
        <w:t> </w:t>
      </w:r>
      <w:r>
        <w:rPr>
          <w:color w:val="000009"/>
        </w:rPr>
        <w:t>SİNİR</w:t>
      </w:r>
      <w:r>
        <w:rPr>
          <w:color w:val="000009"/>
          <w:spacing w:val="-17"/>
        </w:rPr>
        <w:t> </w:t>
      </w:r>
      <w:r>
        <w:rPr>
          <w:color w:val="000009"/>
        </w:rPr>
        <w:t>AĞI</w:t>
      </w:r>
      <w:r>
        <w:rPr>
          <w:color w:val="000009"/>
          <w:spacing w:val="-6"/>
        </w:rPr>
        <w:t> </w:t>
      </w:r>
      <w:r>
        <w:rPr>
          <w:color w:val="000009"/>
        </w:rPr>
        <w:t>İLE</w:t>
      </w:r>
      <w:r>
        <w:rPr>
          <w:color w:val="000009"/>
          <w:spacing w:val="-7"/>
        </w:rPr>
        <w:t> </w:t>
      </w:r>
      <w:r>
        <w:rPr>
          <w:color w:val="000009"/>
        </w:rPr>
        <w:t>FİNANSAL</w:t>
      </w:r>
      <w:r>
        <w:rPr>
          <w:color w:val="000009"/>
          <w:spacing w:val="-29"/>
        </w:rPr>
        <w:t> </w:t>
      </w:r>
      <w:r>
        <w:rPr>
          <w:color w:val="000009"/>
        </w:rPr>
        <w:t>ANALİZ</w:t>
      </w:r>
      <w:r>
        <w:rPr>
          <w:color w:val="000009"/>
          <w:spacing w:val="-16"/>
        </w:rPr>
        <w:t> </w:t>
      </w:r>
      <w:r>
        <w:rPr>
          <w:color w:val="000009"/>
        </w:rPr>
        <w:t>YÖNTEMİ’NE OPSİYON </w:t>
      </w:r>
      <w:r>
        <w:rPr>
          <w:color w:val="000009"/>
          <w:spacing w:val="-2"/>
        </w:rPr>
        <w:t>STRATEJİLERİNİN</w:t>
      </w:r>
      <w:r>
        <w:rPr>
          <w:color w:val="000009"/>
          <w:spacing w:val="-1"/>
        </w:rPr>
        <w:t> </w:t>
      </w:r>
      <w:r>
        <w:rPr>
          <w:color w:val="000009"/>
        </w:rPr>
        <w:t>EKLENMESİ</w:t>
      </w:r>
    </w:p>
    <w:p>
      <w:pPr>
        <w:pStyle w:val="BodyText"/>
        <w:rPr>
          <w:b/>
          <w:sz w:val="26"/>
        </w:rPr>
      </w:pPr>
    </w:p>
    <w:p>
      <w:pPr>
        <w:pStyle w:val="BodyText"/>
        <w:spacing w:line="360" w:lineRule="auto" w:before="181"/>
        <w:ind w:left="590" w:right="1419"/>
        <w:jc w:val="both"/>
      </w:pPr>
      <w:r>
        <w:rPr>
          <w:color w:val="000009"/>
        </w:rPr>
        <w:t>Genellikle görüntü işleme alanında kullanılan konvolüsyonel sinir ağları (convolutional neural network, CNN) son zamanlarda finans alanında da kullanılmaktadır. Örneğin Tsantekidis ve ekibi “Forecasting stock prices from the limit order book using convolutional neural networks” isimli çalışmalarında[7] finansal varlığın belli bir limiti aşması durumunda geçerli olmak üzere verilmiş olan emirlerin listesini kullanarak varlığın bir sonraki fiyat değişimin yönünü tahmin etmeye çalışmış ve CNN’in Support Vector Machine ve Multilayer Perceptron yöntemlerinden daha başarılı sonuçlar ürettiğini görmüştür.</w:t>
      </w:r>
    </w:p>
    <w:p>
      <w:pPr>
        <w:pStyle w:val="BodyText"/>
        <w:spacing w:before="10"/>
        <w:rPr>
          <w:sz w:val="20"/>
        </w:rPr>
      </w:pPr>
    </w:p>
    <w:p>
      <w:pPr>
        <w:pStyle w:val="BodyText"/>
        <w:spacing w:line="360" w:lineRule="auto"/>
        <w:ind w:left="590" w:right="1421"/>
        <w:jc w:val="both"/>
      </w:pPr>
      <w:r>
        <w:rPr>
          <w:color w:val="000009"/>
        </w:rPr>
        <w:t>Chen ve ekibi ise "Financial time-series data analysis using deep convolutional neural networks" isimli çalışmalarında[8] dakikalık açılış – kapanış – en düşük – en yüksek fiyat bilgilerini resim matrislerine çevirerek bir CNN modeli geliştirmiş ve al-sat-tut noktalarını tahmin etmeye çalışmıştır.</w:t>
      </w:r>
    </w:p>
    <w:p>
      <w:pPr>
        <w:pStyle w:val="BodyText"/>
        <w:spacing w:before="10"/>
        <w:rPr>
          <w:sz w:val="20"/>
        </w:rPr>
      </w:pPr>
    </w:p>
    <w:p>
      <w:pPr>
        <w:pStyle w:val="BodyText"/>
        <w:spacing w:line="360" w:lineRule="auto"/>
        <w:ind w:left="590" w:right="1415"/>
        <w:jc w:val="both"/>
      </w:pPr>
      <w:r>
        <w:rPr>
          <w:color w:val="000009"/>
        </w:rPr>
        <w:t>Ömer Berat SEZER ise “Zaman serisi verilerinin derin yapay sinir ağları ile analiz ve eniyilemesi: finansal tahmin algoritmaları” isimli tez çalışmasında[1] alım-satım günlerini belirlemek için CNN’den faydalanmıştır[6]. Bunun için öncelikle fiyatı kendisinden önce ve sonraki 5 günün fiyatından düşük olan noktaları </w:t>
      </w:r>
      <w:r>
        <w:rPr>
          <w:i/>
          <w:color w:val="000009"/>
        </w:rPr>
        <w:t>satış</w:t>
      </w:r>
      <w:r>
        <w:rPr>
          <w:color w:val="000009"/>
        </w:rPr>
        <w:t>, yüksek olan noktaları </w:t>
      </w:r>
      <w:r>
        <w:rPr>
          <w:i/>
          <w:color w:val="000009"/>
        </w:rPr>
        <w:t>alış</w:t>
      </w:r>
      <w:r>
        <w:rPr>
          <w:color w:val="000009"/>
        </w:rPr>
        <w:t>, diğer noktları </w:t>
      </w:r>
      <w:r>
        <w:rPr>
          <w:i/>
          <w:color w:val="000009"/>
        </w:rPr>
        <w:t>tut </w:t>
      </w:r>
      <w:r>
        <w:rPr>
          <w:color w:val="000009"/>
        </w:rPr>
        <w:t>noktası olarak belirlemiştir. Daha sonra tüm günler için 15x15 boyutunda bir matris resim olarak kullanılmak üzere oluşturulmuştur. Bu resimdeki her bir satır bir teknik göstergeyi, her bir sütun da teknik göstergede kullanılacak periyodu belirtmektedir. Oluşturulan resimler ve günlerin türleri (al-sat-tut noktası) CNN’e verilerek eğitilmiş, test döneminde modelin verdiği gün türlerine göre alım-satım yapılarak kâr</w:t>
      </w:r>
      <w:r>
        <w:rPr>
          <w:color w:val="000009"/>
          <w:spacing w:val="-11"/>
        </w:rPr>
        <w:t> </w:t>
      </w:r>
      <w:r>
        <w:rPr>
          <w:color w:val="000009"/>
        </w:rPr>
        <w:t>hesaplanmıştır.</w:t>
      </w:r>
    </w:p>
    <w:p>
      <w:pPr>
        <w:spacing w:after="0" w:line="360" w:lineRule="auto"/>
        <w:jc w:val="both"/>
        <w:sectPr>
          <w:pgSz w:w="11910" w:h="16840"/>
          <w:pgMar w:header="0" w:footer="1050" w:top="1580" w:bottom="1240" w:left="1680" w:right="0"/>
        </w:sectPr>
      </w:pPr>
    </w:p>
    <w:p>
      <w:pPr>
        <w:pStyle w:val="Heading2"/>
        <w:numPr>
          <w:ilvl w:val="1"/>
          <w:numId w:val="1"/>
        </w:numPr>
        <w:tabs>
          <w:tab w:pos="950" w:val="left" w:leader="none"/>
        </w:tabs>
        <w:spacing w:line="240" w:lineRule="auto" w:before="64" w:after="0"/>
        <w:ind w:left="950" w:right="0" w:hanging="360"/>
        <w:jc w:val="left"/>
      </w:pPr>
      <w:r>
        <w:rPr>
          <w:color w:val="000009"/>
        </w:rPr>
        <w:t>Açığa Satış, Zarar </w:t>
      </w:r>
      <w:r>
        <w:rPr>
          <w:color w:val="000009"/>
          <w:spacing w:val="-4"/>
        </w:rPr>
        <w:t>Durdur, </w:t>
      </w:r>
      <w:r>
        <w:rPr>
          <w:color w:val="000009"/>
        </w:rPr>
        <w:t>Kâr Durdur Özelliklerinin</w:t>
      </w:r>
      <w:r>
        <w:rPr>
          <w:color w:val="000009"/>
          <w:spacing w:val="-11"/>
        </w:rPr>
        <w:t> </w:t>
      </w:r>
      <w:r>
        <w:rPr>
          <w:color w:val="000009"/>
        </w:rPr>
        <w:t>Eklenmesi</w:t>
      </w:r>
    </w:p>
    <w:p>
      <w:pPr>
        <w:pStyle w:val="BodyText"/>
        <w:rPr>
          <w:b/>
          <w:sz w:val="26"/>
        </w:rPr>
      </w:pPr>
    </w:p>
    <w:p>
      <w:pPr>
        <w:pStyle w:val="BodyText"/>
        <w:spacing w:line="360" w:lineRule="auto" w:before="199"/>
        <w:ind w:left="590" w:right="1417"/>
        <w:jc w:val="both"/>
      </w:pPr>
      <w:r>
        <w:rPr>
          <w:color w:val="000009"/>
        </w:rPr>
        <w:t>Ömer Berat SEZER’in çalışmasının devamı olan bu çalışmada ise opsiyon stratejileri eklenmeden önce çalışma tekrarlanmış, açığa satış (sat sinyali geldiğinde sadece eldeki varlığı satmak yerine ek olarak açığa satış yapmak), zarar durdur (belli bir miktar zarar edildiğinde zararın daha fazla artmasını engellemek için sat sinyali gelmeden açılan pozisyonu kapatmak) ve kâr durdur (belli bir miktar kâr edildiğinde sat sinyali gelmeden açılan pozisyonu kapatmak) özellikleri eklenmiş ve bu özelliklerin başarımı (yıllık ortalama kârları) arttırdığı görülmüştür. Sonuçların karşılaştırılabilmesi için aynı eğitim dönemi (1997-2006) ve test dönemi (2007-2012) kullanılmıştır.</w:t>
      </w:r>
    </w:p>
    <w:p>
      <w:pPr>
        <w:pStyle w:val="BodyText"/>
        <w:rPr>
          <w:sz w:val="20"/>
        </w:rPr>
      </w:pPr>
    </w:p>
    <w:p>
      <w:pPr>
        <w:pStyle w:val="BodyText"/>
        <w:rPr>
          <w:sz w:val="20"/>
        </w:rPr>
      </w:pPr>
    </w:p>
    <w:p>
      <w:pPr>
        <w:pStyle w:val="BodyText"/>
        <w:spacing w:before="4"/>
        <w:rPr>
          <w:sz w:val="27"/>
        </w:rPr>
      </w:pPr>
    </w:p>
    <w:tbl>
      <w:tblPr>
        <w:tblW w:w="0" w:type="auto"/>
        <w:jc w:val="left"/>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914"/>
        <w:gridCol w:w="912"/>
        <w:gridCol w:w="914"/>
        <w:gridCol w:w="914"/>
        <w:gridCol w:w="914"/>
        <w:gridCol w:w="914"/>
        <w:gridCol w:w="912"/>
        <w:gridCol w:w="916"/>
      </w:tblGrid>
      <w:tr>
        <w:trPr>
          <w:trHeight w:val="342" w:hRule="atLeast"/>
        </w:trPr>
        <w:tc>
          <w:tcPr>
            <w:tcW w:w="914" w:type="dxa"/>
          </w:tcPr>
          <w:p>
            <w:pPr>
              <w:pStyle w:val="TableParagraph"/>
              <w:spacing w:before="0"/>
              <w:ind w:right="0"/>
              <w:jc w:val="left"/>
              <w:rPr>
                <w:rFonts w:ascii="Times New Roman"/>
                <w:sz w:val="22"/>
              </w:rPr>
            </w:pPr>
          </w:p>
        </w:tc>
        <w:tc>
          <w:tcPr>
            <w:tcW w:w="3654" w:type="dxa"/>
            <w:gridSpan w:val="4"/>
          </w:tcPr>
          <w:p>
            <w:pPr>
              <w:pStyle w:val="TableParagraph"/>
              <w:ind w:left="1165" w:right="0"/>
              <w:jc w:val="left"/>
              <w:rPr>
                <w:b/>
                <w:sz w:val="20"/>
              </w:rPr>
            </w:pPr>
            <w:r>
              <w:rPr>
                <w:b/>
                <w:color w:val="000009"/>
                <w:sz w:val="20"/>
              </w:rPr>
              <w:t>Açığa Satış Yok</w:t>
            </w:r>
          </w:p>
        </w:tc>
        <w:tc>
          <w:tcPr>
            <w:tcW w:w="3656" w:type="dxa"/>
            <w:gridSpan w:val="4"/>
          </w:tcPr>
          <w:p>
            <w:pPr>
              <w:pStyle w:val="TableParagraph"/>
              <w:ind w:left="1173" w:right="0"/>
              <w:jc w:val="left"/>
              <w:rPr>
                <w:b/>
                <w:sz w:val="20"/>
              </w:rPr>
            </w:pPr>
            <w:r>
              <w:rPr>
                <w:b/>
                <w:sz w:val="20"/>
              </w:rPr>
              <w:t>Açığa Satış Var</w:t>
            </w:r>
          </w:p>
        </w:tc>
      </w:tr>
      <w:tr>
        <w:trPr>
          <w:trHeight w:val="340" w:hRule="atLeast"/>
        </w:trPr>
        <w:tc>
          <w:tcPr>
            <w:tcW w:w="914" w:type="dxa"/>
          </w:tcPr>
          <w:p>
            <w:pPr>
              <w:pStyle w:val="TableParagraph"/>
              <w:ind w:left="263" w:right="0"/>
              <w:jc w:val="left"/>
              <w:rPr>
                <w:b/>
                <w:sz w:val="20"/>
              </w:rPr>
            </w:pPr>
            <w:r>
              <w:rPr>
                <w:b/>
                <w:color w:val="000009"/>
                <w:sz w:val="20"/>
              </w:rPr>
              <w:t>ETF</w:t>
            </w:r>
          </w:p>
        </w:tc>
        <w:tc>
          <w:tcPr>
            <w:tcW w:w="914" w:type="dxa"/>
          </w:tcPr>
          <w:p>
            <w:pPr>
              <w:pStyle w:val="TableParagraph"/>
              <w:spacing w:before="0"/>
              <w:ind w:right="0"/>
              <w:jc w:val="left"/>
              <w:rPr>
                <w:rFonts w:ascii="Times New Roman"/>
                <w:sz w:val="22"/>
              </w:rPr>
            </w:pPr>
          </w:p>
        </w:tc>
        <w:tc>
          <w:tcPr>
            <w:tcW w:w="912" w:type="dxa"/>
          </w:tcPr>
          <w:p>
            <w:pPr>
              <w:pStyle w:val="TableParagraph"/>
              <w:ind w:left="300" w:right="284"/>
              <w:jc w:val="center"/>
              <w:rPr>
                <w:b/>
                <w:sz w:val="20"/>
              </w:rPr>
            </w:pPr>
            <w:r>
              <w:rPr>
                <w:b/>
                <w:color w:val="000009"/>
                <w:sz w:val="20"/>
              </w:rPr>
              <w:t>ZD</w:t>
            </w:r>
          </w:p>
        </w:tc>
        <w:tc>
          <w:tcPr>
            <w:tcW w:w="914" w:type="dxa"/>
          </w:tcPr>
          <w:p>
            <w:pPr>
              <w:pStyle w:val="TableParagraph"/>
              <w:ind w:left="309" w:right="0"/>
              <w:jc w:val="left"/>
              <w:rPr>
                <w:b/>
                <w:sz w:val="20"/>
              </w:rPr>
            </w:pPr>
            <w:r>
              <w:rPr>
                <w:b/>
                <w:color w:val="000009"/>
                <w:sz w:val="20"/>
              </w:rPr>
              <w:t>KD</w:t>
            </w:r>
          </w:p>
        </w:tc>
        <w:tc>
          <w:tcPr>
            <w:tcW w:w="914" w:type="dxa"/>
          </w:tcPr>
          <w:p>
            <w:pPr>
              <w:pStyle w:val="TableParagraph"/>
              <w:ind w:right="103"/>
              <w:rPr>
                <w:b/>
                <w:sz w:val="20"/>
              </w:rPr>
            </w:pPr>
            <w:r>
              <w:rPr>
                <w:b/>
                <w:color w:val="000009"/>
                <w:sz w:val="20"/>
              </w:rPr>
              <w:t>ZD, KD</w:t>
            </w:r>
          </w:p>
        </w:tc>
        <w:tc>
          <w:tcPr>
            <w:tcW w:w="914" w:type="dxa"/>
          </w:tcPr>
          <w:p>
            <w:pPr>
              <w:pStyle w:val="TableParagraph"/>
              <w:spacing w:before="0"/>
              <w:ind w:right="0"/>
              <w:jc w:val="left"/>
              <w:rPr>
                <w:rFonts w:ascii="Times New Roman"/>
                <w:sz w:val="22"/>
              </w:rPr>
            </w:pPr>
          </w:p>
        </w:tc>
        <w:tc>
          <w:tcPr>
            <w:tcW w:w="914" w:type="dxa"/>
          </w:tcPr>
          <w:p>
            <w:pPr>
              <w:pStyle w:val="TableParagraph"/>
              <w:ind w:left="300" w:right="286"/>
              <w:jc w:val="center"/>
              <w:rPr>
                <w:b/>
                <w:sz w:val="20"/>
              </w:rPr>
            </w:pPr>
            <w:r>
              <w:rPr>
                <w:b/>
                <w:color w:val="000009"/>
                <w:sz w:val="20"/>
              </w:rPr>
              <w:t>ZD</w:t>
            </w:r>
          </w:p>
        </w:tc>
        <w:tc>
          <w:tcPr>
            <w:tcW w:w="912" w:type="dxa"/>
          </w:tcPr>
          <w:p>
            <w:pPr>
              <w:pStyle w:val="TableParagraph"/>
              <w:ind w:left="308" w:right="0"/>
              <w:jc w:val="left"/>
              <w:rPr>
                <w:b/>
                <w:sz w:val="20"/>
              </w:rPr>
            </w:pPr>
            <w:r>
              <w:rPr>
                <w:b/>
                <w:color w:val="000009"/>
                <w:sz w:val="20"/>
              </w:rPr>
              <w:t>KD</w:t>
            </w:r>
          </w:p>
        </w:tc>
        <w:tc>
          <w:tcPr>
            <w:tcW w:w="916" w:type="dxa"/>
          </w:tcPr>
          <w:p>
            <w:pPr>
              <w:pStyle w:val="TableParagraph"/>
              <w:ind w:right="103"/>
              <w:rPr>
                <w:b/>
                <w:sz w:val="20"/>
              </w:rPr>
            </w:pPr>
            <w:r>
              <w:rPr>
                <w:b/>
                <w:color w:val="000009"/>
                <w:sz w:val="20"/>
              </w:rPr>
              <w:t>ZD, KD</w:t>
            </w:r>
          </w:p>
        </w:tc>
      </w:tr>
      <w:tr>
        <w:trPr>
          <w:trHeight w:val="341" w:hRule="atLeast"/>
        </w:trPr>
        <w:tc>
          <w:tcPr>
            <w:tcW w:w="914" w:type="dxa"/>
          </w:tcPr>
          <w:p>
            <w:pPr>
              <w:pStyle w:val="TableParagraph"/>
              <w:ind w:left="57" w:right="0"/>
              <w:jc w:val="left"/>
              <w:rPr>
                <w:sz w:val="20"/>
              </w:rPr>
            </w:pPr>
            <w:r>
              <w:rPr>
                <w:color w:val="000009"/>
                <w:sz w:val="20"/>
              </w:rPr>
              <w:t>XLF</w:t>
            </w:r>
          </w:p>
        </w:tc>
        <w:tc>
          <w:tcPr>
            <w:tcW w:w="914" w:type="dxa"/>
          </w:tcPr>
          <w:p>
            <w:pPr>
              <w:pStyle w:val="TableParagraph"/>
              <w:rPr>
                <w:sz w:val="20"/>
              </w:rPr>
            </w:pPr>
            <w:r>
              <w:rPr>
                <w:color w:val="000009"/>
                <w:sz w:val="20"/>
              </w:rPr>
              <w:t>-3.04%</w:t>
            </w:r>
          </w:p>
        </w:tc>
        <w:tc>
          <w:tcPr>
            <w:tcW w:w="912" w:type="dxa"/>
          </w:tcPr>
          <w:p>
            <w:pPr>
              <w:pStyle w:val="TableParagraph"/>
              <w:rPr>
                <w:sz w:val="20"/>
              </w:rPr>
            </w:pPr>
            <w:r>
              <w:rPr>
                <w:color w:val="000009"/>
                <w:sz w:val="20"/>
              </w:rPr>
              <w:t>4.46%</w:t>
            </w:r>
          </w:p>
        </w:tc>
        <w:tc>
          <w:tcPr>
            <w:tcW w:w="914" w:type="dxa"/>
          </w:tcPr>
          <w:p>
            <w:pPr>
              <w:pStyle w:val="TableParagraph"/>
              <w:ind w:left="279" w:right="0"/>
              <w:jc w:val="left"/>
              <w:rPr>
                <w:sz w:val="20"/>
              </w:rPr>
            </w:pPr>
            <w:r>
              <w:rPr>
                <w:color w:val="000009"/>
                <w:sz w:val="20"/>
              </w:rPr>
              <w:t>-1.63%</w:t>
            </w:r>
          </w:p>
        </w:tc>
        <w:tc>
          <w:tcPr>
            <w:tcW w:w="914" w:type="dxa"/>
          </w:tcPr>
          <w:p>
            <w:pPr>
              <w:pStyle w:val="TableParagraph"/>
              <w:ind w:right="41"/>
              <w:rPr>
                <w:sz w:val="20"/>
              </w:rPr>
            </w:pPr>
            <w:r>
              <w:rPr>
                <w:color w:val="000009"/>
                <w:sz w:val="20"/>
              </w:rPr>
              <w:t>12.26%</w:t>
            </w:r>
          </w:p>
        </w:tc>
        <w:tc>
          <w:tcPr>
            <w:tcW w:w="914" w:type="dxa"/>
          </w:tcPr>
          <w:p>
            <w:pPr>
              <w:pStyle w:val="TableParagraph"/>
              <w:ind w:right="41"/>
              <w:rPr>
                <w:sz w:val="20"/>
              </w:rPr>
            </w:pPr>
            <w:r>
              <w:rPr>
                <w:color w:val="000009"/>
                <w:sz w:val="20"/>
              </w:rPr>
              <w:t>16.50%</w:t>
            </w:r>
          </w:p>
        </w:tc>
        <w:tc>
          <w:tcPr>
            <w:tcW w:w="914" w:type="dxa"/>
          </w:tcPr>
          <w:p>
            <w:pPr>
              <w:pStyle w:val="TableParagraph"/>
              <w:ind w:right="41"/>
              <w:rPr>
                <w:sz w:val="20"/>
              </w:rPr>
            </w:pPr>
            <w:r>
              <w:rPr>
                <w:color w:val="000009"/>
                <w:sz w:val="20"/>
              </w:rPr>
              <w:t>37.93%</w:t>
            </w:r>
          </w:p>
        </w:tc>
        <w:tc>
          <w:tcPr>
            <w:tcW w:w="912" w:type="dxa"/>
          </w:tcPr>
          <w:p>
            <w:pPr>
              <w:pStyle w:val="TableParagraph"/>
              <w:rPr>
                <w:sz w:val="20"/>
              </w:rPr>
            </w:pPr>
            <w:r>
              <w:rPr>
                <w:color w:val="000009"/>
                <w:sz w:val="20"/>
              </w:rPr>
              <w:t>8.21%</w:t>
            </w:r>
          </w:p>
        </w:tc>
        <w:tc>
          <w:tcPr>
            <w:tcW w:w="916" w:type="dxa"/>
          </w:tcPr>
          <w:p>
            <w:pPr>
              <w:pStyle w:val="TableParagraph"/>
              <w:ind w:right="41"/>
              <w:rPr>
                <w:sz w:val="20"/>
              </w:rPr>
            </w:pPr>
            <w:r>
              <w:rPr>
                <w:color w:val="000009"/>
                <w:sz w:val="20"/>
              </w:rPr>
              <w:t>27.81%</w:t>
            </w:r>
          </w:p>
        </w:tc>
      </w:tr>
      <w:tr>
        <w:trPr>
          <w:trHeight w:val="340" w:hRule="atLeast"/>
        </w:trPr>
        <w:tc>
          <w:tcPr>
            <w:tcW w:w="914" w:type="dxa"/>
          </w:tcPr>
          <w:p>
            <w:pPr>
              <w:pStyle w:val="TableParagraph"/>
              <w:ind w:left="57" w:right="0"/>
              <w:jc w:val="left"/>
              <w:rPr>
                <w:sz w:val="20"/>
              </w:rPr>
            </w:pPr>
            <w:r>
              <w:rPr>
                <w:color w:val="000009"/>
                <w:sz w:val="20"/>
              </w:rPr>
              <w:t>XLU</w:t>
            </w:r>
          </w:p>
        </w:tc>
        <w:tc>
          <w:tcPr>
            <w:tcW w:w="914" w:type="dxa"/>
          </w:tcPr>
          <w:p>
            <w:pPr>
              <w:pStyle w:val="TableParagraph"/>
              <w:ind w:right="41"/>
              <w:rPr>
                <w:sz w:val="20"/>
              </w:rPr>
            </w:pPr>
            <w:r>
              <w:rPr>
                <w:color w:val="000009"/>
                <w:sz w:val="20"/>
              </w:rPr>
              <w:t>6.17%</w:t>
            </w:r>
          </w:p>
        </w:tc>
        <w:tc>
          <w:tcPr>
            <w:tcW w:w="912" w:type="dxa"/>
          </w:tcPr>
          <w:p>
            <w:pPr>
              <w:pStyle w:val="TableParagraph"/>
              <w:rPr>
                <w:sz w:val="20"/>
              </w:rPr>
            </w:pPr>
            <w:r>
              <w:rPr>
                <w:color w:val="000009"/>
                <w:sz w:val="20"/>
              </w:rPr>
              <w:t>-0.54%</w:t>
            </w:r>
          </w:p>
        </w:tc>
        <w:tc>
          <w:tcPr>
            <w:tcW w:w="914" w:type="dxa"/>
          </w:tcPr>
          <w:p>
            <w:pPr>
              <w:pStyle w:val="TableParagraph"/>
              <w:ind w:left="345" w:right="0"/>
              <w:jc w:val="left"/>
              <w:rPr>
                <w:sz w:val="20"/>
              </w:rPr>
            </w:pPr>
            <w:r>
              <w:rPr>
                <w:color w:val="000009"/>
                <w:sz w:val="20"/>
              </w:rPr>
              <w:t>6.17%</w:t>
            </w:r>
          </w:p>
        </w:tc>
        <w:tc>
          <w:tcPr>
            <w:tcW w:w="914" w:type="dxa"/>
          </w:tcPr>
          <w:p>
            <w:pPr>
              <w:pStyle w:val="TableParagraph"/>
              <w:ind w:right="41"/>
              <w:rPr>
                <w:sz w:val="20"/>
              </w:rPr>
            </w:pPr>
            <w:r>
              <w:rPr>
                <w:color w:val="000009"/>
                <w:sz w:val="20"/>
              </w:rPr>
              <w:t>1.26%</w:t>
            </w:r>
          </w:p>
        </w:tc>
        <w:tc>
          <w:tcPr>
            <w:tcW w:w="914" w:type="dxa"/>
          </w:tcPr>
          <w:p>
            <w:pPr>
              <w:pStyle w:val="TableParagraph"/>
              <w:ind w:right="41"/>
              <w:rPr>
                <w:sz w:val="20"/>
              </w:rPr>
            </w:pPr>
            <w:r>
              <w:rPr>
                <w:color w:val="000009"/>
                <w:sz w:val="20"/>
              </w:rPr>
              <w:t>15.79%</w:t>
            </w:r>
          </w:p>
        </w:tc>
        <w:tc>
          <w:tcPr>
            <w:tcW w:w="914" w:type="dxa"/>
          </w:tcPr>
          <w:p>
            <w:pPr>
              <w:pStyle w:val="TableParagraph"/>
              <w:ind w:right="41"/>
              <w:rPr>
                <w:sz w:val="20"/>
              </w:rPr>
            </w:pPr>
            <w:r>
              <w:rPr>
                <w:color w:val="000009"/>
                <w:sz w:val="20"/>
              </w:rPr>
              <w:t>10.14%</w:t>
            </w:r>
          </w:p>
        </w:tc>
        <w:tc>
          <w:tcPr>
            <w:tcW w:w="912" w:type="dxa"/>
          </w:tcPr>
          <w:p>
            <w:pPr>
              <w:pStyle w:val="TableParagraph"/>
              <w:rPr>
                <w:sz w:val="20"/>
              </w:rPr>
            </w:pPr>
            <w:r>
              <w:rPr>
                <w:color w:val="000009"/>
                <w:sz w:val="20"/>
              </w:rPr>
              <w:t>15.79%</w:t>
            </w:r>
          </w:p>
        </w:tc>
        <w:tc>
          <w:tcPr>
            <w:tcW w:w="916" w:type="dxa"/>
          </w:tcPr>
          <w:p>
            <w:pPr>
              <w:pStyle w:val="TableParagraph"/>
              <w:ind w:right="41"/>
              <w:rPr>
                <w:sz w:val="20"/>
              </w:rPr>
            </w:pPr>
            <w:r>
              <w:rPr>
                <w:color w:val="000009"/>
                <w:sz w:val="20"/>
              </w:rPr>
              <w:t>12.13%</w:t>
            </w:r>
          </w:p>
        </w:tc>
      </w:tr>
      <w:tr>
        <w:trPr>
          <w:trHeight w:val="342" w:hRule="atLeast"/>
        </w:trPr>
        <w:tc>
          <w:tcPr>
            <w:tcW w:w="914" w:type="dxa"/>
          </w:tcPr>
          <w:p>
            <w:pPr>
              <w:pStyle w:val="TableParagraph"/>
              <w:ind w:left="57" w:right="0"/>
              <w:jc w:val="left"/>
              <w:rPr>
                <w:sz w:val="20"/>
              </w:rPr>
            </w:pPr>
            <w:r>
              <w:rPr>
                <w:color w:val="000009"/>
                <w:sz w:val="20"/>
              </w:rPr>
              <w:t>QQQ</w:t>
            </w:r>
          </w:p>
        </w:tc>
        <w:tc>
          <w:tcPr>
            <w:tcW w:w="914" w:type="dxa"/>
          </w:tcPr>
          <w:p>
            <w:pPr>
              <w:pStyle w:val="TableParagraph"/>
              <w:ind w:right="41"/>
              <w:rPr>
                <w:sz w:val="20"/>
              </w:rPr>
            </w:pPr>
            <w:r>
              <w:rPr>
                <w:color w:val="000009"/>
                <w:sz w:val="20"/>
              </w:rPr>
              <w:t>10.75%</w:t>
            </w:r>
          </w:p>
        </w:tc>
        <w:tc>
          <w:tcPr>
            <w:tcW w:w="912" w:type="dxa"/>
          </w:tcPr>
          <w:p>
            <w:pPr>
              <w:pStyle w:val="TableParagraph"/>
              <w:rPr>
                <w:sz w:val="20"/>
              </w:rPr>
            </w:pPr>
            <w:r>
              <w:rPr>
                <w:color w:val="000009"/>
                <w:sz w:val="20"/>
              </w:rPr>
              <w:t>8.36%</w:t>
            </w:r>
          </w:p>
        </w:tc>
        <w:tc>
          <w:tcPr>
            <w:tcW w:w="914" w:type="dxa"/>
          </w:tcPr>
          <w:p>
            <w:pPr>
              <w:pStyle w:val="TableParagraph"/>
              <w:ind w:left="245" w:right="0"/>
              <w:jc w:val="left"/>
              <w:rPr>
                <w:sz w:val="20"/>
              </w:rPr>
            </w:pPr>
            <w:r>
              <w:rPr>
                <w:color w:val="000009"/>
                <w:sz w:val="20"/>
              </w:rPr>
              <w:t>10.75%</w:t>
            </w:r>
          </w:p>
        </w:tc>
        <w:tc>
          <w:tcPr>
            <w:tcW w:w="914" w:type="dxa"/>
          </w:tcPr>
          <w:p>
            <w:pPr>
              <w:pStyle w:val="TableParagraph"/>
              <w:ind w:right="41"/>
              <w:rPr>
                <w:sz w:val="20"/>
              </w:rPr>
            </w:pPr>
            <w:r>
              <w:rPr>
                <w:color w:val="000009"/>
                <w:sz w:val="20"/>
              </w:rPr>
              <w:t>8.46%</w:t>
            </w:r>
          </w:p>
        </w:tc>
        <w:tc>
          <w:tcPr>
            <w:tcW w:w="914" w:type="dxa"/>
          </w:tcPr>
          <w:p>
            <w:pPr>
              <w:pStyle w:val="TableParagraph"/>
              <w:ind w:right="41"/>
              <w:rPr>
                <w:sz w:val="20"/>
              </w:rPr>
            </w:pPr>
            <w:r>
              <w:rPr>
                <w:color w:val="000009"/>
                <w:sz w:val="20"/>
              </w:rPr>
              <w:t>14.27%</w:t>
            </w:r>
          </w:p>
        </w:tc>
        <w:tc>
          <w:tcPr>
            <w:tcW w:w="914" w:type="dxa"/>
          </w:tcPr>
          <w:p>
            <w:pPr>
              <w:pStyle w:val="TableParagraph"/>
              <w:ind w:right="41"/>
              <w:rPr>
                <w:sz w:val="20"/>
              </w:rPr>
            </w:pPr>
            <w:r>
              <w:rPr>
                <w:color w:val="000009"/>
                <w:sz w:val="20"/>
              </w:rPr>
              <w:t>8.97%</w:t>
            </w:r>
          </w:p>
        </w:tc>
        <w:tc>
          <w:tcPr>
            <w:tcW w:w="912" w:type="dxa"/>
          </w:tcPr>
          <w:p>
            <w:pPr>
              <w:pStyle w:val="TableParagraph"/>
              <w:rPr>
                <w:sz w:val="20"/>
              </w:rPr>
            </w:pPr>
            <w:r>
              <w:rPr>
                <w:color w:val="000009"/>
                <w:sz w:val="20"/>
              </w:rPr>
              <w:t>10.95%</w:t>
            </w:r>
          </w:p>
        </w:tc>
        <w:tc>
          <w:tcPr>
            <w:tcW w:w="916" w:type="dxa"/>
          </w:tcPr>
          <w:p>
            <w:pPr>
              <w:pStyle w:val="TableParagraph"/>
              <w:ind w:right="41"/>
              <w:rPr>
                <w:sz w:val="20"/>
              </w:rPr>
            </w:pPr>
            <w:r>
              <w:rPr>
                <w:color w:val="000009"/>
                <w:sz w:val="20"/>
              </w:rPr>
              <w:t>6.14%</w:t>
            </w:r>
          </w:p>
        </w:tc>
      </w:tr>
      <w:tr>
        <w:trPr>
          <w:trHeight w:val="340" w:hRule="atLeast"/>
        </w:trPr>
        <w:tc>
          <w:tcPr>
            <w:tcW w:w="914" w:type="dxa"/>
          </w:tcPr>
          <w:p>
            <w:pPr>
              <w:pStyle w:val="TableParagraph"/>
              <w:ind w:left="57" w:right="0"/>
              <w:jc w:val="left"/>
              <w:rPr>
                <w:sz w:val="20"/>
              </w:rPr>
            </w:pPr>
            <w:r>
              <w:rPr>
                <w:color w:val="000009"/>
                <w:sz w:val="20"/>
              </w:rPr>
              <w:t>SPY</w:t>
            </w:r>
          </w:p>
        </w:tc>
        <w:tc>
          <w:tcPr>
            <w:tcW w:w="914" w:type="dxa"/>
          </w:tcPr>
          <w:p>
            <w:pPr>
              <w:pStyle w:val="TableParagraph"/>
              <w:ind w:right="41"/>
              <w:rPr>
                <w:sz w:val="20"/>
              </w:rPr>
            </w:pPr>
            <w:r>
              <w:rPr>
                <w:color w:val="000009"/>
                <w:sz w:val="20"/>
              </w:rPr>
              <w:t>3.09%</w:t>
            </w:r>
          </w:p>
        </w:tc>
        <w:tc>
          <w:tcPr>
            <w:tcW w:w="912" w:type="dxa"/>
          </w:tcPr>
          <w:p>
            <w:pPr>
              <w:pStyle w:val="TableParagraph"/>
              <w:rPr>
                <w:sz w:val="20"/>
              </w:rPr>
            </w:pPr>
            <w:r>
              <w:rPr>
                <w:color w:val="000009"/>
                <w:sz w:val="20"/>
              </w:rPr>
              <w:t>5.95%</w:t>
            </w:r>
          </w:p>
        </w:tc>
        <w:tc>
          <w:tcPr>
            <w:tcW w:w="914" w:type="dxa"/>
          </w:tcPr>
          <w:p>
            <w:pPr>
              <w:pStyle w:val="TableParagraph"/>
              <w:ind w:left="345" w:right="0"/>
              <w:jc w:val="left"/>
              <w:rPr>
                <w:sz w:val="20"/>
              </w:rPr>
            </w:pPr>
            <w:r>
              <w:rPr>
                <w:color w:val="000009"/>
                <w:sz w:val="20"/>
              </w:rPr>
              <w:t>3.53%</w:t>
            </w:r>
          </w:p>
        </w:tc>
        <w:tc>
          <w:tcPr>
            <w:tcW w:w="914" w:type="dxa"/>
          </w:tcPr>
          <w:p>
            <w:pPr>
              <w:pStyle w:val="TableParagraph"/>
              <w:ind w:right="41"/>
              <w:rPr>
                <w:sz w:val="20"/>
              </w:rPr>
            </w:pPr>
            <w:r>
              <w:rPr>
                <w:color w:val="000009"/>
                <w:sz w:val="20"/>
              </w:rPr>
              <w:t>9.77%</w:t>
            </w:r>
          </w:p>
        </w:tc>
        <w:tc>
          <w:tcPr>
            <w:tcW w:w="914" w:type="dxa"/>
          </w:tcPr>
          <w:p>
            <w:pPr>
              <w:pStyle w:val="TableParagraph"/>
              <w:ind w:right="41"/>
              <w:rPr>
                <w:sz w:val="20"/>
              </w:rPr>
            </w:pPr>
            <w:r>
              <w:rPr>
                <w:color w:val="000009"/>
                <w:sz w:val="20"/>
              </w:rPr>
              <w:t>7.45%</w:t>
            </w:r>
          </w:p>
        </w:tc>
        <w:tc>
          <w:tcPr>
            <w:tcW w:w="914" w:type="dxa"/>
          </w:tcPr>
          <w:p>
            <w:pPr>
              <w:pStyle w:val="TableParagraph"/>
              <w:ind w:right="41"/>
              <w:rPr>
                <w:sz w:val="20"/>
              </w:rPr>
            </w:pPr>
            <w:r>
              <w:rPr>
                <w:color w:val="000009"/>
                <w:sz w:val="20"/>
              </w:rPr>
              <w:t>6.14%</w:t>
            </w:r>
          </w:p>
        </w:tc>
        <w:tc>
          <w:tcPr>
            <w:tcW w:w="912" w:type="dxa"/>
          </w:tcPr>
          <w:p>
            <w:pPr>
              <w:pStyle w:val="TableParagraph"/>
              <w:rPr>
                <w:sz w:val="20"/>
              </w:rPr>
            </w:pPr>
            <w:r>
              <w:rPr>
                <w:color w:val="000009"/>
                <w:sz w:val="20"/>
              </w:rPr>
              <w:t>7.98%</w:t>
            </w:r>
          </w:p>
        </w:tc>
        <w:tc>
          <w:tcPr>
            <w:tcW w:w="916" w:type="dxa"/>
          </w:tcPr>
          <w:p>
            <w:pPr>
              <w:pStyle w:val="TableParagraph"/>
              <w:ind w:right="41"/>
              <w:rPr>
                <w:sz w:val="20"/>
              </w:rPr>
            </w:pPr>
            <w:r>
              <w:rPr>
                <w:color w:val="000009"/>
                <w:sz w:val="20"/>
              </w:rPr>
              <w:t>12.19%</w:t>
            </w:r>
          </w:p>
        </w:tc>
      </w:tr>
      <w:tr>
        <w:trPr>
          <w:trHeight w:val="342" w:hRule="atLeast"/>
        </w:trPr>
        <w:tc>
          <w:tcPr>
            <w:tcW w:w="914" w:type="dxa"/>
          </w:tcPr>
          <w:p>
            <w:pPr>
              <w:pStyle w:val="TableParagraph"/>
              <w:ind w:left="57" w:right="0"/>
              <w:jc w:val="left"/>
              <w:rPr>
                <w:sz w:val="20"/>
              </w:rPr>
            </w:pPr>
            <w:r>
              <w:rPr>
                <w:color w:val="000009"/>
                <w:sz w:val="20"/>
              </w:rPr>
              <w:t>XLP</w:t>
            </w:r>
          </w:p>
        </w:tc>
        <w:tc>
          <w:tcPr>
            <w:tcW w:w="914" w:type="dxa"/>
          </w:tcPr>
          <w:p>
            <w:pPr>
              <w:pStyle w:val="TableParagraph"/>
              <w:ind w:right="41"/>
              <w:rPr>
                <w:sz w:val="20"/>
              </w:rPr>
            </w:pPr>
            <w:r>
              <w:rPr>
                <w:color w:val="000009"/>
                <w:sz w:val="20"/>
              </w:rPr>
              <w:t>7.17%</w:t>
            </w:r>
          </w:p>
        </w:tc>
        <w:tc>
          <w:tcPr>
            <w:tcW w:w="912" w:type="dxa"/>
          </w:tcPr>
          <w:p>
            <w:pPr>
              <w:pStyle w:val="TableParagraph"/>
              <w:rPr>
                <w:sz w:val="20"/>
              </w:rPr>
            </w:pPr>
            <w:r>
              <w:rPr>
                <w:color w:val="000009"/>
                <w:sz w:val="20"/>
              </w:rPr>
              <w:t>7.17%</w:t>
            </w:r>
          </w:p>
        </w:tc>
        <w:tc>
          <w:tcPr>
            <w:tcW w:w="914" w:type="dxa"/>
          </w:tcPr>
          <w:p>
            <w:pPr>
              <w:pStyle w:val="TableParagraph"/>
              <w:ind w:left="345" w:right="0"/>
              <w:jc w:val="left"/>
              <w:rPr>
                <w:sz w:val="20"/>
              </w:rPr>
            </w:pPr>
            <w:r>
              <w:rPr>
                <w:color w:val="000009"/>
                <w:sz w:val="20"/>
              </w:rPr>
              <w:t>7.17%</w:t>
            </w:r>
          </w:p>
        </w:tc>
        <w:tc>
          <w:tcPr>
            <w:tcW w:w="914" w:type="dxa"/>
          </w:tcPr>
          <w:p>
            <w:pPr>
              <w:pStyle w:val="TableParagraph"/>
              <w:ind w:right="41"/>
              <w:rPr>
                <w:sz w:val="20"/>
              </w:rPr>
            </w:pPr>
            <w:r>
              <w:rPr>
                <w:color w:val="000009"/>
                <w:sz w:val="20"/>
              </w:rPr>
              <w:t>8.57%</w:t>
            </w:r>
          </w:p>
        </w:tc>
        <w:tc>
          <w:tcPr>
            <w:tcW w:w="914" w:type="dxa"/>
          </w:tcPr>
          <w:p>
            <w:pPr>
              <w:pStyle w:val="TableParagraph"/>
              <w:ind w:right="41"/>
              <w:rPr>
                <w:sz w:val="20"/>
              </w:rPr>
            </w:pPr>
            <w:r>
              <w:rPr>
                <w:color w:val="000009"/>
                <w:sz w:val="20"/>
              </w:rPr>
              <w:t>10.56%</w:t>
            </w:r>
          </w:p>
        </w:tc>
        <w:tc>
          <w:tcPr>
            <w:tcW w:w="914" w:type="dxa"/>
          </w:tcPr>
          <w:p>
            <w:pPr>
              <w:pStyle w:val="TableParagraph"/>
              <w:ind w:right="41"/>
              <w:rPr>
                <w:sz w:val="20"/>
              </w:rPr>
            </w:pPr>
            <w:r>
              <w:rPr>
                <w:color w:val="000009"/>
                <w:sz w:val="20"/>
              </w:rPr>
              <w:t>11.26%</w:t>
            </w:r>
          </w:p>
        </w:tc>
        <w:tc>
          <w:tcPr>
            <w:tcW w:w="912" w:type="dxa"/>
          </w:tcPr>
          <w:p>
            <w:pPr>
              <w:pStyle w:val="TableParagraph"/>
              <w:rPr>
                <w:sz w:val="20"/>
              </w:rPr>
            </w:pPr>
            <w:r>
              <w:rPr>
                <w:color w:val="000009"/>
                <w:sz w:val="20"/>
              </w:rPr>
              <w:t>10.56%</w:t>
            </w:r>
          </w:p>
        </w:tc>
        <w:tc>
          <w:tcPr>
            <w:tcW w:w="916" w:type="dxa"/>
          </w:tcPr>
          <w:p>
            <w:pPr>
              <w:pStyle w:val="TableParagraph"/>
              <w:ind w:right="41"/>
              <w:rPr>
                <w:sz w:val="20"/>
              </w:rPr>
            </w:pPr>
            <w:r>
              <w:rPr>
                <w:color w:val="000009"/>
                <w:sz w:val="20"/>
              </w:rPr>
              <w:t>12.72%</w:t>
            </w:r>
          </w:p>
        </w:tc>
      </w:tr>
      <w:tr>
        <w:trPr>
          <w:trHeight w:val="340" w:hRule="atLeast"/>
        </w:trPr>
        <w:tc>
          <w:tcPr>
            <w:tcW w:w="914" w:type="dxa"/>
          </w:tcPr>
          <w:p>
            <w:pPr>
              <w:pStyle w:val="TableParagraph"/>
              <w:ind w:left="57" w:right="0"/>
              <w:jc w:val="left"/>
              <w:rPr>
                <w:sz w:val="20"/>
              </w:rPr>
            </w:pPr>
            <w:r>
              <w:rPr>
                <w:color w:val="000009"/>
                <w:sz w:val="20"/>
              </w:rPr>
              <w:t>EWZ</w:t>
            </w:r>
          </w:p>
        </w:tc>
        <w:tc>
          <w:tcPr>
            <w:tcW w:w="914" w:type="dxa"/>
          </w:tcPr>
          <w:p>
            <w:pPr>
              <w:pStyle w:val="TableParagraph"/>
              <w:rPr>
                <w:sz w:val="20"/>
              </w:rPr>
            </w:pPr>
            <w:r>
              <w:rPr>
                <w:color w:val="000009"/>
                <w:sz w:val="20"/>
              </w:rPr>
              <w:t>-1.40%</w:t>
            </w:r>
          </w:p>
        </w:tc>
        <w:tc>
          <w:tcPr>
            <w:tcW w:w="912" w:type="dxa"/>
          </w:tcPr>
          <w:p>
            <w:pPr>
              <w:pStyle w:val="TableParagraph"/>
              <w:rPr>
                <w:sz w:val="20"/>
              </w:rPr>
            </w:pPr>
            <w:r>
              <w:rPr>
                <w:color w:val="000009"/>
                <w:sz w:val="20"/>
              </w:rPr>
              <w:t>0.83%</w:t>
            </w:r>
          </w:p>
        </w:tc>
        <w:tc>
          <w:tcPr>
            <w:tcW w:w="914" w:type="dxa"/>
          </w:tcPr>
          <w:p>
            <w:pPr>
              <w:pStyle w:val="TableParagraph"/>
              <w:ind w:left="279" w:right="0"/>
              <w:jc w:val="left"/>
              <w:rPr>
                <w:sz w:val="20"/>
              </w:rPr>
            </w:pPr>
            <w:r>
              <w:rPr>
                <w:color w:val="000009"/>
                <w:sz w:val="20"/>
              </w:rPr>
              <w:t>-0.27%</w:t>
            </w:r>
          </w:p>
        </w:tc>
        <w:tc>
          <w:tcPr>
            <w:tcW w:w="914" w:type="dxa"/>
          </w:tcPr>
          <w:p>
            <w:pPr>
              <w:pStyle w:val="TableParagraph"/>
              <w:ind w:right="41"/>
              <w:rPr>
                <w:sz w:val="20"/>
              </w:rPr>
            </w:pPr>
            <w:r>
              <w:rPr>
                <w:color w:val="000009"/>
                <w:sz w:val="20"/>
              </w:rPr>
              <w:t>0.38%</w:t>
            </w:r>
          </w:p>
        </w:tc>
        <w:tc>
          <w:tcPr>
            <w:tcW w:w="914" w:type="dxa"/>
          </w:tcPr>
          <w:p>
            <w:pPr>
              <w:pStyle w:val="TableParagraph"/>
              <w:rPr>
                <w:sz w:val="20"/>
              </w:rPr>
            </w:pPr>
            <w:r>
              <w:rPr>
                <w:color w:val="000009"/>
                <w:sz w:val="20"/>
              </w:rPr>
              <w:t>-14.38%</w:t>
            </w:r>
          </w:p>
        </w:tc>
        <w:tc>
          <w:tcPr>
            <w:tcW w:w="914" w:type="dxa"/>
          </w:tcPr>
          <w:p>
            <w:pPr>
              <w:pStyle w:val="TableParagraph"/>
              <w:ind w:right="41"/>
              <w:rPr>
                <w:sz w:val="20"/>
              </w:rPr>
            </w:pPr>
            <w:r>
              <w:rPr>
                <w:color w:val="000009"/>
                <w:sz w:val="20"/>
              </w:rPr>
              <w:t>-11.36%</w:t>
            </w:r>
          </w:p>
        </w:tc>
        <w:tc>
          <w:tcPr>
            <w:tcW w:w="912" w:type="dxa"/>
          </w:tcPr>
          <w:p>
            <w:pPr>
              <w:pStyle w:val="TableParagraph"/>
              <w:rPr>
                <w:sz w:val="20"/>
              </w:rPr>
            </w:pPr>
            <w:r>
              <w:rPr>
                <w:color w:val="000009"/>
                <w:sz w:val="20"/>
              </w:rPr>
              <w:t>-14.76%</w:t>
            </w:r>
          </w:p>
        </w:tc>
        <w:tc>
          <w:tcPr>
            <w:tcW w:w="916" w:type="dxa"/>
          </w:tcPr>
          <w:p>
            <w:pPr>
              <w:pStyle w:val="TableParagraph"/>
              <w:rPr>
                <w:sz w:val="20"/>
              </w:rPr>
            </w:pPr>
            <w:r>
              <w:rPr>
                <w:color w:val="000009"/>
                <w:sz w:val="20"/>
              </w:rPr>
              <w:t>-10.65%</w:t>
            </w:r>
          </w:p>
        </w:tc>
      </w:tr>
      <w:tr>
        <w:trPr>
          <w:trHeight w:val="341" w:hRule="atLeast"/>
        </w:trPr>
        <w:tc>
          <w:tcPr>
            <w:tcW w:w="914" w:type="dxa"/>
          </w:tcPr>
          <w:p>
            <w:pPr>
              <w:pStyle w:val="TableParagraph"/>
              <w:ind w:left="57" w:right="0"/>
              <w:jc w:val="left"/>
              <w:rPr>
                <w:sz w:val="20"/>
              </w:rPr>
            </w:pPr>
            <w:r>
              <w:rPr>
                <w:color w:val="000009"/>
                <w:sz w:val="20"/>
              </w:rPr>
              <w:t>EWH</w:t>
            </w:r>
          </w:p>
        </w:tc>
        <w:tc>
          <w:tcPr>
            <w:tcW w:w="914" w:type="dxa"/>
          </w:tcPr>
          <w:p>
            <w:pPr>
              <w:pStyle w:val="TableParagraph"/>
              <w:ind w:right="41"/>
              <w:rPr>
                <w:sz w:val="20"/>
              </w:rPr>
            </w:pPr>
            <w:r>
              <w:rPr>
                <w:color w:val="000009"/>
                <w:sz w:val="20"/>
              </w:rPr>
              <w:t>12.16%</w:t>
            </w:r>
          </w:p>
        </w:tc>
        <w:tc>
          <w:tcPr>
            <w:tcW w:w="912" w:type="dxa"/>
          </w:tcPr>
          <w:p>
            <w:pPr>
              <w:pStyle w:val="TableParagraph"/>
              <w:rPr>
                <w:sz w:val="20"/>
              </w:rPr>
            </w:pPr>
            <w:r>
              <w:rPr>
                <w:color w:val="000009"/>
                <w:sz w:val="20"/>
              </w:rPr>
              <w:t>11.62%</w:t>
            </w:r>
          </w:p>
        </w:tc>
        <w:tc>
          <w:tcPr>
            <w:tcW w:w="914" w:type="dxa"/>
          </w:tcPr>
          <w:p>
            <w:pPr>
              <w:pStyle w:val="TableParagraph"/>
              <w:ind w:left="245" w:right="0"/>
              <w:jc w:val="left"/>
              <w:rPr>
                <w:sz w:val="20"/>
              </w:rPr>
            </w:pPr>
            <w:r>
              <w:rPr>
                <w:color w:val="000009"/>
                <w:sz w:val="20"/>
              </w:rPr>
              <w:t>12.08%</w:t>
            </w:r>
          </w:p>
        </w:tc>
        <w:tc>
          <w:tcPr>
            <w:tcW w:w="914" w:type="dxa"/>
          </w:tcPr>
          <w:p>
            <w:pPr>
              <w:pStyle w:val="TableParagraph"/>
              <w:ind w:right="41"/>
              <w:rPr>
                <w:sz w:val="20"/>
              </w:rPr>
            </w:pPr>
            <w:r>
              <w:rPr>
                <w:color w:val="000009"/>
                <w:sz w:val="20"/>
              </w:rPr>
              <w:t>14.44%</w:t>
            </w:r>
          </w:p>
        </w:tc>
        <w:tc>
          <w:tcPr>
            <w:tcW w:w="914" w:type="dxa"/>
          </w:tcPr>
          <w:p>
            <w:pPr>
              <w:pStyle w:val="TableParagraph"/>
              <w:ind w:right="41"/>
              <w:rPr>
                <w:sz w:val="20"/>
              </w:rPr>
            </w:pPr>
            <w:r>
              <w:rPr>
                <w:color w:val="000009"/>
                <w:sz w:val="20"/>
              </w:rPr>
              <w:t>24.01%</w:t>
            </w:r>
          </w:p>
        </w:tc>
        <w:tc>
          <w:tcPr>
            <w:tcW w:w="914" w:type="dxa"/>
          </w:tcPr>
          <w:p>
            <w:pPr>
              <w:pStyle w:val="TableParagraph"/>
              <w:ind w:right="41"/>
              <w:rPr>
                <w:sz w:val="20"/>
              </w:rPr>
            </w:pPr>
            <w:r>
              <w:rPr>
                <w:color w:val="000009"/>
                <w:sz w:val="20"/>
              </w:rPr>
              <w:t>17.43%</w:t>
            </w:r>
          </w:p>
        </w:tc>
        <w:tc>
          <w:tcPr>
            <w:tcW w:w="912" w:type="dxa"/>
          </w:tcPr>
          <w:p>
            <w:pPr>
              <w:pStyle w:val="TableParagraph"/>
              <w:rPr>
                <w:sz w:val="20"/>
              </w:rPr>
            </w:pPr>
            <w:r>
              <w:rPr>
                <w:color w:val="000009"/>
                <w:sz w:val="20"/>
              </w:rPr>
              <w:t>21.50%</w:t>
            </w:r>
          </w:p>
        </w:tc>
        <w:tc>
          <w:tcPr>
            <w:tcW w:w="916" w:type="dxa"/>
          </w:tcPr>
          <w:p>
            <w:pPr>
              <w:pStyle w:val="TableParagraph"/>
              <w:ind w:right="41"/>
              <w:rPr>
                <w:sz w:val="20"/>
              </w:rPr>
            </w:pPr>
            <w:r>
              <w:rPr>
                <w:color w:val="000009"/>
                <w:sz w:val="20"/>
              </w:rPr>
              <w:t>22.20%</w:t>
            </w:r>
          </w:p>
        </w:tc>
      </w:tr>
      <w:tr>
        <w:trPr>
          <w:trHeight w:val="340" w:hRule="atLeast"/>
        </w:trPr>
        <w:tc>
          <w:tcPr>
            <w:tcW w:w="914" w:type="dxa"/>
          </w:tcPr>
          <w:p>
            <w:pPr>
              <w:pStyle w:val="TableParagraph"/>
              <w:ind w:left="57" w:right="0"/>
              <w:jc w:val="left"/>
              <w:rPr>
                <w:sz w:val="20"/>
              </w:rPr>
            </w:pPr>
            <w:r>
              <w:rPr>
                <w:color w:val="000009"/>
                <w:sz w:val="20"/>
              </w:rPr>
              <w:t>XLY</w:t>
            </w:r>
          </w:p>
        </w:tc>
        <w:tc>
          <w:tcPr>
            <w:tcW w:w="914" w:type="dxa"/>
          </w:tcPr>
          <w:p>
            <w:pPr>
              <w:pStyle w:val="TableParagraph"/>
              <w:rPr>
                <w:sz w:val="20"/>
              </w:rPr>
            </w:pPr>
            <w:r>
              <w:rPr>
                <w:color w:val="000009"/>
                <w:sz w:val="20"/>
              </w:rPr>
              <w:t>-7.35%</w:t>
            </w:r>
          </w:p>
        </w:tc>
        <w:tc>
          <w:tcPr>
            <w:tcW w:w="912" w:type="dxa"/>
          </w:tcPr>
          <w:p>
            <w:pPr>
              <w:pStyle w:val="TableParagraph"/>
              <w:rPr>
                <w:sz w:val="20"/>
              </w:rPr>
            </w:pPr>
            <w:r>
              <w:rPr>
                <w:color w:val="000009"/>
                <w:sz w:val="20"/>
              </w:rPr>
              <w:t>-5.50%</w:t>
            </w:r>
          </w:p>
        </w:tc>
        <w:tc>
          <w:tcPr>
            <w:tcW w:w="914" w:type="dxa"/>
          </w:tcPr>
          <w:p>
            <w:pPr>
              <w:pStyle w:val="TableParagraph"/>
              <w:ind w:left="279" w:right="0"/>
              <w:jc w:val="left"/>
              <w:rPr>
                <w:sz w:val="20"/>
              </w:rPr>
            </w:pPr>
            <w:r>
              <w:rPr>
                <w:color w:val="000009"/>
                <w:sz w:val="20"/>
              </w:rPr>
              <w:t>-7.35%</w:t>
            </w:r>
          </w:p>
        </w:tc>
        <w:tc>
          <w:tcPr>
            <w:tcW w:w="914" w:type="dxa"/>
          </w:tcPr>
          <w:p>
            <w:pPr>
              <w:pStyle w:val="TableParagraph"/>
              <w:rPr>
                <w:sz w:val="20"/>
              </w:rPr>
            </w:pPr>
            <w:r>
              <w:rPr>
                <w:color w:val="000009"/>
                <w:sz w:val="20"/>
              </w:rPr>
              <w:t>-0.01%</w:t>
            </w:r>
          </w:p>
        </w:tc>
        <w:tc>
          <w:tcPr>
            <w:tcW w:w="914" w:type="dxa"/>
          </w:tcPr>
          <w:p>
            <w:pPr>
              <w:pStyle w:val="TableParagraph"/>
              <w:rPr>
                <w:sz w:val="20"/>
              </w:rPr>
            </w:pPr>
            <w:r>
              <w:rPr>
                <w:color w:val="000009"/>
                <w:sz w:val="20"/>
              </w:rPr>
              <w:t>-19.19%</w:t>
            </w:r>
          </w:p>
        </w:tc>
        <w:tc>
          <w:tcPr>
            <w:tcW w:w="914" w:type="dxa"/>
          </w:tcPr>
          <w:p>
            <w:pPr>
              <w:pStyle w:val="TableParagraph"/>
              <w:rPr>
                <w:sz w:val="20"/>
              </w:rPr>
            </w:pPr>
            <w:r>
              <w:rPr>
                <w:color w:val="000009"/>
                <w:sz w:val="20"/>
              </w:rPr>
              <w:t>-18.61%</w:t>
            </w:r>
          </w:p>
        </w:tc>
        <w:tc>
          <w:tcPr>
            <w:tcW w:w="912" w:type="dxa"/>
          </w:tcPr>
          <w:p>
            <w:pPr>
              <w:pStyle w:val="TableParagraph"/>
              <w:rPr>
                <w:sz w:val="20"/>
              </w:rPr>
            </w:pPr>
            <w:r>
              <w:rPr>
                <w:color w:val="000009"/>
                <w:sz w:val="20"/>
              </w:rPr>
              <w:t>-16.43%</w:t>
            </w:r>
          </w:p>
        </w:tc>
        <w:tc>
          <w:tcPr>
            <w:tcW w:w="916" w:type="dxa"/>
          </w:tcPr>
          <w:p>
            <w:pPr>
              <w:pStyle w:val="TableParagraph"/>
              <w:rPr>
                <w:sz w:val="20"/>
              </w:rPr>
            </w:pPr>
            <w:r>
              <w:rPr>
                <w:color w:val="000009"/>
                <w:sz w:val="20"/>
              </w:rPr>
              <w:t>-10.56%</w:t>
            </w:r>
          </w:p>
        </w:tc>
      </w:tr>
      <w:tr>
        <w:trPr>
          <w:trHeight w:val="342" w:hRule="atLeast"/>
        </w:trPr>
        <w:tc>
          <w:tcPr>
            <w:tcW w:w="914" w:type="dxa"/>
          </w:tcPr>
          <w:p>
            <w:pPr>
              <w:pStyle w:val="TableParagraph"/>
              <w:ind w:left="57" w:right="0"/>
              <w:jc w:val="left"/>
              <w:rPr>
                <w:sz w:val="20"/>
              </w:rPr>
            </w:pPr>
            <w:r>
              <w:rPr>
                <w:color w:val="000009"/>
                <w:sz w:val="20"/>
              </w:rPr>
              <w:t>XLE</w:t>
            </w:r>
          </w:p>
        </w:tc>
        <w:tc>
          <w:tcPr>
            <w:tcW w:w="914" w:type="dxa"/>
          </w:tcPr>
          <w:p>
            <w:pPr>
              <w:pStyle w:val="TableParagraph"/>
              <w:ind w:right="41"/>
              <w:rPr>
                <w:sz w:val="20"/>
              </w:rPr>
            </w:pPr>
            <w:r>
              <w:rPr>
                <w:color w:val="000009"/>
                <w:sz w:val="20"/>
              </w:rPr>
              <w:t>10.62%</w:t>
            </w:r>
          </w:p>
        </w:tc>
        <w:tc>
          <w:tcPr>
            <w:tcW w:w="912" w:type="dxa"/>
          </w:tcPr>
          <w:p>
            <w:pPr>
              <w:pStyle w:val="TableParagraph"/>
              <w:rPr>
                <w:sz w:val="20"/>
              </w:rPr>
            </w:pPr>
            <w:r>
              <w:rPr>
                <w:color w:val="000009"/>
                <w:sz w:val="20"/>
              </w:rPr>
              <w:t>8.53%</w:t>
            </w:r>
          </w:p>
        </w:tc>
        <w:tc>
          <w:tcPr>
            <w:tcW w:w="914" w:type="dxa"/>
          </w:tcPr>
          <w:p>
            <w:pPr>
              <w:pStyle w:val="TableParagraph"/>
              <w:ind w:left="254" w:right="0"/>
              <w:jc w:val="left"/>
              <w:rPr>
                <w:sz w:val="20"/>
              </w:rPr>
            </w:pPr>
            <w:r>
              <w:rPr>
                <w:color w:val="000009"/>
                <w:sz w:val="20"/>
              </w:rPr>
              <w:t>18.11%</w:t>
            </w:r>
          </w:p>
        </w:tc>
        <w:tc>
          <w:tcPr>
            <w:tcW w:w="914" w:type="dxa"/>
          </w:tcPr>
          <w:p>
            <w:pPr>
              <w:pStyle w:val="TableParagraph"/>
              <w:ind w:right="41"/>
              <w:rPr>
                <w:sz w:val="20"/>
              </w:rPr>
            </w:pPr>
            <w:r>
              <w:rPr>
                <w:color w:val="000009"/>
                <w:sz w:val="20"/>
              </w:rPr>
              <w:t>19.64%</w:t>
            </w:r>
          </w:p>
        </w:tc>
        <w:tc>
          <w:tcPr>
            <w:tcW w:w="914" w:type="dxa"/>
          </w:tcPr>
          <w:p>
            <w:pPr>
              <w:pStyle w:val="TableParagraph"/>
              <w:ind w:right="41"/>
              <w:rPr>
                <w:sz w:val="20"/>
              </w:rPr>
            </w:pPr>
            <w:r>
              <w:rPr>
                <w:color w:val="000009"/>
                <w:sz w:val="20"/>
              </w:rPr>
              <w:t>4.58%</w:t>
            </w:r>
          </w:p>
        </w:tc>
        <w:tc>
          <w:tcPr>
            <w:tcW w:w="914" w:type="dxa"/>
          </w:tcPr>
          <w:p>
            <w:pPr>
              <w:pStyle w:val="TableParagraph"/>
              <w:ind w:right="41"/>
              <w:rPr>
                <w:sz w:val="20"/>
              </w:rPr>
            </w:pPr>
            <w:r>
              <w:rPr>
                <w:color w:val="000009"/>
                <w:sz w:val="20"/>
              </w:rPr>
              <w:t>5.41%</w:t>
            </w:r>
          </w:p>
        </w:tc>
        <w:tc>
          <w:tcPr>
            <w:tcW w:w="912" w:type="dxa"/>
          </w:tcPr>
          <w:p>
            <w:pPr>
              <w:pStyle w:val="TableParagraph"/>
              <w:rPr>
                <w:sz w:val="20"/>
              </w:rPr>
            </w:pPr>
            <w:r>
              <w:rPr>
                <w:color w:val="000009"/>
                <w:sz w:val="20"/>
              </w:rPr>
              <w:t>21.42%</w:t>
            </w:r>
          </w:p>
        </w:tc>
        <w:tc>
          <w:tcPr>
            <w:tcW w:w="916" w:type="dxa"/>
          </w:tcPr>
          <w:p>
            <w:pPr>
              <w:pStyle w:val="TableParagraph"/>
              <w:ind w:right="41"/>
              <w:rPr>
                <w:sz w:val="20"/>
              </w:rPr>
            </w:pPr>
            <w:r>
              <w:rPr>
                <w:color w:val="000009"/>
                <w:sz w:val="20"/>
              </w:rPr>
              <w:t>23.43%</w:t>
            </w:r>
          </w:p>
        </w:tc>
      </w:tr>
      <w:tr>
        <w:trPr>
          <w:trHeight w:val="340" w:hRule="atLeast"/>
        </w:trPr>
        <w:tc>
          <w:tcPr>
            <w:tcW w:w="914" w:type="dxa"/>
          </w:tcPr>
          <w:p>
            <w:pPr>
              <w:pStyle w:val="TableParagraph"/>
              <w:ind w:left="57" w:right="0"/>
              <w:jc w:val="left"/>
              <w:rPr>
                <w:b/>
                <w:sz w:val="20"/>
              </w:rPr>
            </w:pPr>
            <w:r>
              <w:rPr>
                <w:b/>
                <w:color w:val="000009"/>
                <w:sz w:val="20"/>
              </w:rPr>
              <w:t>Ort.</w:t>
            </w:r>
          </w:p>
        </w:tc>
        <w:tc>
          <w:tcPr>
            <w:tcW w:w="914" w:type="dxa"/>
          </w:tcPr>
          <w:p>
            <w:pPr>
              <w:pStyle w:val="TableParagraph"/>
              <w:ind w:right="41"/>
              <w:rPr>
                <w:sz w:val="20"/>
              </w:rPr>
            </w:pPr>
            <w:r>
              <w:rPr>
                <w:color w:val="000009"/>
                <w:sz w:val="20"/>
              </w:rPr>
              <w:t>4.24%</w:t>
            </w:r>
          </w:p>
        </w:tc>
        <w:tc>
          <w:tcPr>
            <w:tcW w:w="912" w:type="dxa"/>
          </w:tcPr>
          <w:p>
            <w:pPr>
              <w:pStyle w:val="TableParagraph"/>
              <w:rPr>
                <w:sz w:val="20"/>
              </w:rPr>
            </w:pPr>
            <w:r>
              <w:rPr>
                <w:color w:val="000009"/>
                <w:sz w:val="20"/>
              </w:rPr>
              <w:t>4.54%</w:t>
            </w:r>
          </w:p>
        </w:tc>
        <w:tc>
          <w:tcPr>
            <w:tcW w:w="914" w:type="dxa"/>
          </w:tcPr>
          <w:p>
            <w:pPr>
              <w:pStyle w:val="TableParagraph"/>
              <w:ind w:left="345" w:right="0"/>
              <w:jc w:val="left"/>
              <w:rPr>
                <w:sz w:val="20"/>
              </w:rPr>
            </w:pPr>
            <w:r>
              <w:rPr>
                <w:color w:val="000009"/>
                <w:sz w:val="20"/>
              </w:rPr>
              <w:t>5.40%</w:t>
            </w:r>
          </w:p>
        </w:tc>
        <w:tc>
          <w:tcPr>
            <w:tcW w:w="914" w:type="dxa"/>
          </w:tcPr>
          <w:p>
            <w:pPr>
              <w:pStyle w:val="TableParagraph"/>
              <w:ind w:right="41"/>
              <w:rPr>
                <w:sz w:val="20"/>
              </w:rPr>
            </w:pPr>
            <w:r>
              <w:rPr>
                <w:color w:val="000009"/>
                <w:sz w:val="20"/>
              </w:rPr>
              <w:t>8.31%</w:t>
            </w:r>
          </w:p>
        </w:tc>
        <w:tc>
          <w:tcPr>
            <w:tcW w:w="914" w:type="dxa"/>
          </w:tcPr>
          <w:p>
            <w:pPr>
              <w:pStyle w:val="TableParagraph"/>
              <w:ind w:right="41"/>
              <w:rPr>
                <w:sz w:val="20"/>
              </w:rPr>
            </w:pPr>
            <w:r>
              <w:rPr>
                <w:color w:val="000009"/>
                <w:sz w:val="20"/>
              </w:rPr>
              <w:t>6.62%</w:t>
            </w:r>
          </w:p>
        </w:tc>
        <w:tc>
          <w:tcPr>
            <w:tcW w:w="914" w:type="dxa"/>
          </w:tcPr>
          <w:p>
            <w:pPr>
              <w:pStyle w:val="TableParagraph"/>
              <w:ind w:right="41"/>
              <w:rPr>
                <w:sz w:val="20"/>
              </w:rPr>
            </w:pPr>
            <w:r>
              <w:rPr>
                <w:color w:val="000009"/>
                <w:sz w:val="20"/>
              </w:rPr>
              <w:t>7.48%</w:t>
            </w:r>
          </w:p>
        </w:tc>
        <w:tc>
          <w:tcPr>
            <w:tcW w:w="912" w:type="dxa"/>
          </w:tcPr>
          <w:p>
            <w:pPr>
              <w:pStyle w:val="TableParagraph"/>
              <w:rPr>
                <w:sz w:val="20"/>
              </w:rPr>
            </w:pPr>
            <w:r>
              <w:rPr>
                <w:color w:val="000009"/>
                <w:sz w:val="20"/>
              </w:rPr>
              <w:t>7.25%</w:t>
            </w:r>
          </w:p>
        </w:tc>
        <w:tc>
          <w:tcPr>
            <w:tcW w:w="916" w:type="dxa"/>
          </w:tcPr>
          <w:p>
            <w:pPr>
              <w:pStyle w:val="TableParagraph"/>
              <w:ind w:right="41"/>
              <w:rPr>
                <w:b/>
                <w:sz w:val="20"/>
              </w:rPr>
            </w:pPr>
            <w:r>
              <w:rPr>
                <w:b/>
                <w:color w:val="000009"/>
                <w:sz w:val="20"/>
              </w:rPr>
              <w:t>10.60%</w:t>
            </w:r>
          </w:p>
        </w:tc>
      </w:tr>
    </w:tbl>
    <w:p>
      <w:pPr>
        <w:spacing w:before="120"/>
        <w:ind w:left="590" w:right="1459" w:firstLine="0"/>
        <w:jc w:val="left"/>
        <w:rPr>
          <w:i/>
          <w:sz w:val="24"/>
        </w:rPr>
      </w:pPr>
      <w:r>
        <w:rPr>
          <w:i/>
          <w:color w:val="000009"/>
          <w:sz w:val="24"/>
        </w:rPr>
        <w:t>Tablo </w:t>
      </w:r>
      <w:bookmarkStart w:name="_bookmark0" w:id="1"/>
      <w:bookmarkEnd w:id="1"/>
      <w:r>
        <w:rPr>
          <w:i/>
          <w:color w:val="000009"/>
          <w:sz w:val="24"/>
        </w:rPr>
        <w:t>2:</w:t>
      </w:r>
      <w:r>
        <w:rPr>
          <w:i/>
          <w:color w:val="000009"/>
          <w:sz w:val="24"/>
        </w:rPr>
        <w:t> CNN ile Finansal Analiz Yöntemine Açığa Satış, Zarar Durdur (ZD) ve Kâr </w:t>
      </w:r>
      <w:r>
        <w:rPr>
          <w:i/>
          <w:color w:val="000009"/>
          <w:sz w:val="24"/>
        </w:rPr>
        <w:t>Durdur (KD) Özellikleri Eklendikten Sonra ETF’lerin Yıllık Ortalama Kârları</w:t>
      </w:r>
    </w:p>
    <w:p>
      <w:pPr>
        <w:pStyle w:val="BodyText"/>
        <w:spacing w:before="10"/>
        <w:rPr>
          <w:i/>
          <w:sz w:val="20"/>
        </w:rPr>
      </w:pPr>
    </w:p>
    <w:p>
      <w:pPr>
        <w:pStyle w:val="BodyText"/>
        <w:spacing w:line="360" w:lineRule="auto"/>
        <w:ind w:left="590" w:right="1421"/>
        <w:jc w:val="both"/>
      </w:pPr>
      <w:hyperlink w:history="true" w:anchor="_bookmark0">
        <w:r>
          <w:rPr>
            <w:color w:val="000009"/>
          </w:rPr>
          <w:t>2 </w:t>
        </w:r>
      </w:hyperlink>
      <w:r>
        <w:rPr>
          <w:color w:val="000009"/>
        </w:rPr>
        <w:t>ve </w:t>
      </w:r>
      <w:hyperlink w:history="true" w:anchor="_bookmark1">
        <w:r>
          <w:rPr>
            <w:color w:val="000009"/>
          </w:rPr>
          <w:t>3 </w:t>
        </w:r>
      </w:hyperlink>
      <w:r>
        <w:rPr>
          <w:color w:val="000009"/>
        </w:rPr>
        <w:t>numaralı tablolardan görülebileceği üzere açığa satış, kâr durdurma ve zarar durdurma özelliklerinin hepsi bir arada kullanıldığında en yüksek kâr elde edilmektedir. Bu sonuçlar zarar durdurma limiti %3, kâr durdurma limiti %10 kabul edilerek elde edilmiştir. Bu limitlerin de eniyilenmesiyle başarım arttırılabilir.</w:t>
      </w:r>
    </w:p>
    <w:p>
      <w:pPr>
        <w:spacing w:after="0" w:line="360" w:lineRule="auto"/>
        <w:jc w:val="both"/>
        <w:sectPr>
          <w:pgSz w:w="11910" w:h="16840"/>
          <w:pgMar w:header="0" w:footer="1050" w:top="1340" w:bottom="1240" w:left="1680" w:right="0"/>
        </w:sectPr>
      </w:pPr>
    </w:p>
    <w:tbl>
      <w:tblPr>
        <w:tblW w:w="0" w:type="auto"/>
        <w:jc w:val="left"/>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914"/>
        <w:gridCol w:w="912"/>
        <w:gridCol w:w="914"/>
        <w:gridCol w:w="914"/>
        <w:gridCol w:w="914"/>
        <w:gridCol w:w="914"/>
        <w:gridCol w:w="912"/>
        <w:gridCol w:w="916"/>
      </w:tblGrid>
      <w:tr>
        <w:trPr>
          <w:trHeight w:val="342" w:hRule="atLeast"/>
        </w:trPr>
        <w:tc>
          <w:tcPr>
            <w:tcW w:w="914" w:type="dxa"/>
          </w:tcPr>
          <w:p>
            <w:pPr>
              <w:pStyle w:val="TableParagraph"/>
              <w:spacing w:before="0"/>
              <w:ind w:right="0"/>
              <w:jc w:val="left"/>
              <w:rPr>
                <w:rFonts w:ascii="Times New Roman"/>
                <w:sz w:val="20"/>
              </w:rPr>
            </w:pPr>
          </w:p>
        </w:tc>
        <w:tc>
          <w:tcPr>
            <w:tcW w:w="3654" w:type="dxa"/>
            <w:gridSpan w:val="4"/>
          </w:tcPr>
          <w:p>
            <w:pPr>
              <w:pStyle w:val="TableParagraph"/>
              <w:ind w:left="1165" w:right="0"/>
              <w:jc w:val="left"/>
              <w:rPr>
                <w:b/>
                <w:sz w:val="20"/>
              </w:rPr>
            </w:pPr>
            <w:r>
              <w:rPr>
                <w:b/>
                <w:color w:val="000009"/>
                <w:sz w:val="20"/>
              </w:rPr>
              <w:t>Açığa Satış Yok</w:t>
            </w:r>
          </w:p>
        </w:tc>
        <w:tc>
          <w:tcPr>
            <w:tcW w:w="3656" w:type="dxa"/>
            <w:gridSpan w:val="4"/>
          </w:tcPr>
          <w:p>
            <w:pPr>
              <w:pStyle w:val="TableParagraph"/>
              <w:ind w:left="1173" w:right="0"/>
              <w:jc w:val="left"/>
              <w:rPr>
                <w:b/>
                <w:sz w:val="20"/>
              </w:rPr>
            </w:pPr>
            <w:r>
              <w:rPr>
                <w:b/>
                <w:sz w:val="20"/>
              </w:rPr>
              <w:t>Açığa Satış Var</w:t>
            </w:r>
          </w:p>
        </w:tc>
      </w:tr>
      <w:tr>
        <w:trPr>
          <w:trHeight w:val="340" w:hRule="atLeast"/>
        </w:trPr>
        <w:tc>
          <w:tcPr>
            <w:tcW w:w="914" w:type="dxa"/>
          </w:tcPr>
          <w:p>
            <w:pPr>
              <w:pStyle w:val="TableParagraph"/>
              <w:ind w:left="231" w:right="0"/>
              <w:jc w:val="left"/>
              <w:rPr>
                <w:b/>
                <w:sz w:val="20"/>
              </w:rPr>
            </w:pPr>
            <w:r>
              <w:rPr>
                <w:b/>
                <w:color w:val="000009"/>
                <w:sz w:val="20"/>
              </w:rPr>
              <w:t>Hisse</w:t>
            </w:r>
          </w:p>
        </w:tc>
        <w:tc>
          <w:tcPr>
            <w:tcW w:w="914" w:type="dxa"/>
          </w:tcPr>
          <w:p>
            <w:pPr>
              <w:pStyle w:val="TableParagraph"/>
              <w:spacing w:before="0"/>
              <w:ind w:right="0"/>
              <w:jc w:val="left"/>
              <w:rPr>
                <w:rFonts w:ascii="Times New Roman"/>
                <w:sz w:val="20"/>
              </w:rPr>
            </w:pPr>
          </w:p>
        </w:tc>
        <w:tc>
          <w:tcPr>
            <w:tcW w:w="912" w:type="dxa"/>
          </w:tcPr>
          <w:p>
            <w:pPr>
              <w:pStyle w:val="TableParagraph"/>
              <w:ind w:left="300" w:right="284"/>
              <w:jc w:val="center"/>
              <w:rPr>
                <w:b/>
                <w:sz w:val="20"/>
              </w:rPr>
            </w:pPr>
            <w:r>
              <w:rPr>
                <w:b/>
                <w:color w:val="000009"/>
                <w:sz w:val="20"/>
              </w:rPr>
              <w:t>ZD</w:t>
            </w:r>
          </w:p>
        </w:tc>
        <w:tc>
          <w:tcPr>
            <w:tcW w:w="914" w:type="dxa"/>
          </w:tcPr>
          <w:p>
            <w:pPr>
              <w:pStyle w:val="TableParagraph"/>
              <w:ind w:left="309" w:right="0"/>
              <w:jc w:val="left"/>
              <w:rPr>
                <w:b/>
                <w:sz w:val="20"/>
              </w:rPr>
            </w:pPr>
            <w:r>
              <w:rPr>
                <w:b/>
                <w:color w:val="000009"/>
                <w:sz w:val="20"/>
              </w:rPr>
              <w:t>KD</w:t>
            </w:r>
          </w:p>
        </w:tc>
        <w:tc>
          <w:tcPr>
            <w:tcW w:w="914" w:type="dxa"/>
          </w:tcPr>
          <w:p>
            <w:pPr>
              <w:pStyle w:val="TableParagraph"/>
              <w:ind w:right="103"/>
              <w:rPr>
                <w:b/>
                <w:sz w:val="20"/>
              </w:rPr>
            </w:pPr>
            <w:r>
              <w:rPr>
                <w:b/>
                <w:color w:val="000009"/>
                <w:sz w:val="20"/>
              </w:rPr>
              <w:t>ZD, KD</w:t>
            </w:r>
          </w:p>
        </w:tc>
        <w:tc>
          <w:tcPr>
            <w:tcW w:w="914" w:type="dxa"/>
          </w:tcPr>
          <w:p>
            <w:pPr>
              <w:pStyle w:val="TableParagraph"/>
              <w:spacing w:before="0"/>
              <w:ind w:right="0"/>
              <w:jc w:val="left"/>
              <w:rPr>
                <w:rFonts w:ascii="Times New Roman"/>
                <w:sz w:val="20"/>
              </w:rPr>
            </w:pPr>
          </w:p>
        </w:tc>
        <w:tc>
          <w:tcPr>
            <w:tcW w:w="914" w:type="dxa"/>
          </w:tcPr>
          <w:p>
            <w:pPr>
              <w:pStyle w:val="TableParagraph"/>
              <w:ind w:left="300" w:right="286"/>
              <w:jc w:val="center"/>
              <w:rPr>
                <w:b/>
                <w:sz w:val="20"/>
              </w:rPr>
            </w:pPr>
            <w:r>
              <w:rPr>
                <w:b/>
                <w:color w:val="000009"/>
                <w:sz w:val="20"/>
              </w:rPr>
              <w:t>ZD</w:t>
            </w:r>
          </w:p>
        </w:tc>
        <w:tc>
          <w:tcPr>
            <w:tcW w:w="912" w:type="dxa"/>
          </w:tcPr>
          <w:p>
            <w:pPr>
              <w:pStyle w:val="TableParagraph"/>
              <w:ind w:left="308" w:right="0"/>
              <w:jc w:val="left"/>
              <w:rPr>
                <w:b/>
                <w:sz w:val="20"/>
              </w:rPr>
            </w:pPr>
            <w:r>
              <w:rPr>
                <w:b/>
                <w:color w:val="000009"/>
                <w:sz w:val="20"/>
              </w:rPr>
              <w:t>KD</w:t>
            </w:r>
          </w:p>
        </w:tc>
        <w:tc>
          <w:tcPr>
            <w:tcW w:w="916" w:type="dxa"/>
          </w:tcPr>
          <w:p>
            <w:pPr>
              <w:pStyle w:val="TableParagraph"/>
              <w:ind w:right="103"/>
              <w:rPr>
                <w:b/>
                <w:sz w:val="20"/>
              </w:rPr>
            </w:pPr>
            <w:r>
              <w:rPr>
                <w:b/>
                <w:color w:val="000009"/>
                <w:sz w:val="20"/>
              </w:rPr>
              <w:t>ZD, KD</w:t>
            </w:r>
          </w:p>
        </w:tc>
      </w:tr>
      <w:tr>
        <w:trPr>
          <w:trHeight w:val="342" w:hRule="atLeast"/>
        </w:trPr>
        <w:tc>
          <w:tcPr>
            <w:tcW w:w="914" w:type="dxa"/>
          </w:tcPr>
          <w:p>
            <w:pPr>
              <w:pStyle w:val="TableParagraph"/>
              <w:ind w:left="57" w:right="0"/>
              <w:jc w:val="left"/>
              <w:rPr>
                <w:sz w:val="20"/>
              </w:rPr>
            </w:pPr>
            <w:r>
              <w:rPr>
                <w:color w:val="000009"/>
                <w:sz w:val="20"/>
              </w:rPr>
              <w:t>AXP</w:t>
            </w:r>
          </w:p>
        </w:tc>
        <w:tc>
          <w:tcPr>
            <w:tcW w:w="914" w:type="dxa"/>
          </w:tcPr>
          <w:p>
            <w:pPr>
              <w:pStyle w:val="TableParagraph"/>
              <w:ind w:right="41"/>
              <w:rPr>
                <w:sz w:val="20"/>
              </w:rPr>
            </w:pPr>
            <w:r>
              <w:rPr>
                <w:color w:val="000009"/>
                <w:sz w:val="20"/>
              </w:rPr>
              <w:t>8.89%</w:t>
            </w:r>
          </w:p>
        </w:tc>
        <w:tc>
          <w:tcPr>
            <w:tcW w:w="912" w:type="dxa"/>
          </w:tcPr>
          <w:p>
            <w:pPr>
              <w:pStyle w:val="TableParagraph"/>
              <w:rPr>
                <w:sz w:val="20"/>
              </w:rPr>
            </w:pPr>
            <w:r>
              <w:rPr>
                <w:color w:val="000009"/>
                <w:sz w:val="20"/>
              </w:rPr>
              <w:t>-6.19%</w:t>
            </w:r>
          </w:p>
        </w:tc>
        <w:tc>
          <w:tcPr>
            <w:tcW w:w="914" w:type="dxa"/>
          </w:tcPr>
          <w:p>
            <w:pPr>
              <w:pStyle w:val="TableParagraph"/>
              <w:ind w:left="245" w:right="0"/>
              <w:jc w:val="left"/>
              <w:rPr>
                <w:sz w:val="20"/>
              </w:rPr>
            </w:pPr>
            <w:r>
              <w:rPr>
                <w:color w:val="000009"/>
                <w:sz w:val="20"/>
              </w:rPr>
              <w:t>13.69%</w:t>
            </w:r>
          </w:p>
        </w:tc>
        <w:tc>
          <w:tcPr>
            <w:tcW w:w="914" w:type="dxa"/>
          </w:tcPr>
          <w:p>
            <w:pPr>
              <w:pStyle w:val="TableParagraph"/>
              <w:ind w:right="41"/>
              <w:rPr>
                <w:sz w:val="20"/>
              </w:rPr>
            </w:pPr>
            <w:r>
              <w:rPr>
                <w:color w:val="000009"/>
                <w:sz w:val="20"/>
              </w:rPr>
              <w:t>9.93%</w:t>
            </w:r>
          </w:p>
        </w:tc>
        <w:tc>
          <w:tcPr>
            <w:tcW w:w="914" w:type="dxa"/>
          </w:tcPr>
          <w:p>
            <w:pPr>
              <w:pStyle w:val="TableParagraph"/>
              <w:ind w:right="41"/>
              <w:rPr>
                <w:sz w:val="20"/>
              </w:rPr>
            </w:pPr>
            <w:r>
              <w:rPr>
                <w:color w:val="000009"/>
                <w:sz w:val="20"/>
              </w:rPr>
              <w:t>10.13%</w:t>
            </w:r>
          </w:p>
        </w:tc>
        <w:tc>
          <w:tcPr>
            <w:tcW w:w="914" w:type="dxa"/>
          </w:tcPr>
          <w:p>
            <w:pPr>
              <w:pStyle w:val="TableParagraph"/>
              <w:rPr>
                <w:sz w:val="20"/>
              </w:rPr>
            </w:pPr>
            <w:r>
              <w:rPr>
                <w:color w:val="000009"/>
                <w:sz w:val="20"/>
              </w:rPr>
              <w:t>-0.69%</w:t>
            </w:r>
          </w:p>
        </w:tc>
        <w:tc>
          <w:tcPr>
            <w:tcW w:w="912" w:type="dxa"/>
          </w:tcPr>
          <w:p>
            <w:pPr>
              <w:pStyle w:val="TableParagraph"/>
              <w:rPr>
                <w:sz w:val="20"/>
              </w:rPr>
            </w:pPr>
            <w:r>
              <w:rPr>
                <w:color w:val="000009"/>
                <w:sz w:val="20"/>
              </w:rPr>
              <w:t>22.52%</w:t>
            </w:r>
          </w:p>
        </w:tc>
        <w:tc>
          <w:tcPr>
            <w:tcW w:w="916" w:type="dxa"/>
          </w:tcPr>
          <w:p>
            <w:pPr>
              <w:pStyle w:val="TableParagraph"/>
              <w:ind w:right="41"/>
              <w:rPr>
                <w:sz w:val="20"/>
              </w:rPr>
            </w:pPr>
            <w:r>
              <w:rPr>
                <w:color w:val="000009"/>
                <w:sz w:val="20"/>
              </w:rPr>
              <w:t>39.55%</w:t>
            </w:r>
          </w:p>
        </w:tc>
      </w:tr>
      <w:tr>
        <w:trPr>
          <w:trHeight w:val="340" w:hRule="atLeast"/>
        </w:trPr>
        <w:tc>
          <w:tcPr>
            <w:tcW w:w="914" w:type="dxa"/>
          </w:tcPr>
          <w:p>
            <w:pPr>
              <w:pStyle w:val="TableParagraph"/>
              <w:ind w:left="57" w:right="0"/>
              <w:jc w:val="left"/>
              <w:rPr>
                <w:sz w:val="20"/>
              </w:rPr>
            </w:pPr>
            <w:r>
              <w:rPr>
                <w:color w:val="000009"/>
                <w:sz w:val="20"/>
              </w:rPr>
              <w:t>BA</w:t>
            </w:r>
          </w:p>
        </w:tc>
        <w:tc>
          <w:tcPr>
            <w:tcW w:w="914" w:type="dxa"/>
          </w:tcPr>
          <w:p>
            <w:pPr>
              <w:pStyle w:val="TableParagraph"/>
              <w:rPr>
                <w:sz w:val="20"/>
              </w:rPr>
            </w:pPr>
            <w:r>
              <w:rPr>
                <w:color w:val="000009"/>
                <w:sz w:val="20"/>
              </w:rPr>
              <w:t>-2.09%</w:t>
            </w:r>
          </w:p>
        </w:tc>
        <w:tc>
          <w:tcPr>
            <w:tcW w:w="912" w:type="dxa"/>
          </w:tcPr>
          <w:p>
            <w:pPr>
              <w:pStyle w:val="TableParagraph"/>
              <w:rPr>
                <w:sz w:val="20"/>
              </w:rPr>
            </w:pPr>
            <w:r>
              <w:rPr>
                <w:color w:val="000009"/>
                <w:sz w:val="20"/>
              </w:rPr>
              <w:t>6.36%</w:t>
            </w:r>
          </w:p>
        </w:tc>
        <w:tc>
          <w:tcPr>
            <w:tcW w:w="914" w:type="dxa"/>
          </w:tcPr>
          <w:p>
            <w:pPr>
              <w:pStyle w:val="TableParagraph"/>
              <w:ind w:left="279" w:right="0"/>
              <w:jc w:val="left"/>
              <w:rPr>
                <w:sz w:val="20"/>
              </w:rPr>
            </w:pPr>
            <w:r>
              <w:rPr>
                <w:color w:val="000009"/>
                <w:sz w:val="20"/>
              </w:rPr>
              <w:t>-2.09%</w:t>
            </w:r>
          </w:p>
        </w:tc>
        <w:tc>
          <w:tcPr>
            <w:tcW w:w="914" w:type="dxa"/>
          </w:tcPr>
          <w:p>
            <w:pPr>
              <w:pStyle w:val="TableParagraph"/>
              <w:ind w:right="41"/>
              <w:rPr>
                <w:sz w:val="20"/>
              </w:rPr>
            </w:pPr>
            <w:r>
              <w:rPr>
                <w:color w:val="000009"/>
                <w:sz w:val="20"/>
              </w:rPr>
              <w:t>8.40%</w:t>
            </w:r>
          </w:p>
        </w:tc>
        <w:tc>
          <w:tcPr>
            <w:tcW w:w="914" w:type="dxa"/>
          </w:tcPr>
          <w:p>
            <w:pPr>
              <w:pStyle w:val="TableParagraph"/>
              <w:rPr>
                <w:sz w:val="20"/>
              </w:rPr>
            </w:pPr>
            <w:r>
              <w:rPr>
                <w:color w:val="000009"/>
                <w:sz w:val="20"/>
              </w:rPr>
              <w:t>-5.62%</w:t>
            </w:r>
          </w:p>
        </w:tc>
        <w:tc>
          <w:tcPr>
            <w:tcW w:w="914" w:type="dxa"/>
          </w:tcPr>
          <w:p>
            <w:pPr>
              <w:pStyle w:val="TableParagraph"/>
              <w:ind w:right="41"/>
              <w:rPr>
                <w:sz w:val="20"/>
              </w:rPr>
            </w:pPr>
            <w:r>
              <w:rPr>
                <w:color w:val="000009"/>
                <w:sz w:val="20"/>
              </w:rPr>
              <w:t>1.68%</w:t>
            </w:r>
          </w:p>
        </w:tc>
        <w:tc>
          <w:tcPr>
            <w:tcW w:w="912" w:type="dxa"/>
          </w:tcPr>
          <w:p>
            <w:pPr>
              <w:pStyle w:val="TableParagraph"/>
              <w:rPr>
                <w:sz w:val="20"/>
              </w:rPr>
            </w:pPr>
            <w:r>
              <w:rPr>
                <w:color w:val="000009"/>
                <w:sz w:val="20"/>
              </w:rPr>
              <w:t>-5.76%</w:t>
            </w:r>
          </w:p>
        </w:tc>
        <w:tc>
          <w:tcPr>
            <w:tcW w:w="916" w:type="dxa"/>
          </w:tcPr>
          <w:p>
            <w:pPr>
              <w:pStyle w:val="TableParagraph"/>
              <w:ind w:right="41"/>
              <w:rPr>
                <w:sz w:val="20"/>
              </w:rPr>
            </w:pPr>
            <w:r>
              <w:rPr>
                <w:color w:val="000009"/>
                <w:sz w:val="20"/>
              </w:rPr>
              <w:t>1.76%</w:t>
            </w:r>
          </w:p>
        </w:tc>
      </w:tr>
      <w:tr>
        <w:trPr>
          <w:trHeight w:val="342" w:hRule="atLeast"/>
        </w:trPr>
        <w:tc>
          <w:tcPr>
            <w:tcW w:w="914" w:type="dxa"/>
          </w:tcPr>
          <w:p>
            <w:pPr>
              <w:pStyle w:val="TableParagraph"/>
              <w:ind w:left="57" w:right="0"/>
              <w:jc w:val="left"/>
              <w:rPr>
                <w:sz w:val="20"/>
              </w:rPr>
            </w:pPr>
            <w:r>
              <w:rPr>
                <w:color w:val="000009"/>
                <w:sz w:val="20"/>
              </w:rPr>
              <w:t>CAT</w:t>
            </w:r>
          </w:p>
        </w:tc>
        <w:tc>
          <w:tcPr>
            <w:tcW w:w="914" w:type="dxa"/>
          </w:tcPr>
          <w:p>
            <w:pPr>
              <w:pStyle w:val="TableParagraph"/>
              <w:rPr>
                <w:sz w:val="20"/>
              </w:rPr>
            </w:pPr>
            <w:r>
              <w:rPr>
                <w:color w:val="000009"/>
                <w:sz w:val="20"/>
              </w:rPr>
              <w:t>-5.94%</w:t>
            </w:r>
          </w:p>
        </w:tc>
        <w:tc>
          <w:tcPr>
            <w:tcW w:w="912" w:type="dxa"/>
          </w:tcPr>
          <w:p>
            <w:pPr>
              <w:pStyle w:val="TableParagraph"/>
              <w:rPr>
                <w:sz w:val="20"/>
              </w:rPr>
            </w:pPr>
            <w:r>
              <w:rPr>
                <w:color w:val="000009"/>
                <w:sz w:val="20"/>
              </w:rPr>
              <w:t>-0.69%</w:t>
            </w:r>
          </w:p>
        </w:tc>
        <w:tc>
          <w:tcPr>
            <w:tcW w:w="914" w:type="dxa"/>
          </w:tcPr>
          <w:p>
            <w:pPr>
              <w:pStyle w:val="TableParagraph"/>
              <w:ind w:left="279" w:right="0"/>
              <w:jc w:val="left"/>
              <w:rPr>
                <w:sz w:val="20"/>
              </w:rPr>
            </w:pPr>
            <w:r>
              <w:rPr>
                <w:color w:val="000009"/>
                <w:sz w:val="20"/>
              </w:rPr>
              <w:t>-5.08%</w:t>
            </w:r>
          </w:p>
        </w:tc>
        <w:tc>
          <w:tcPr>
            <w:tcW w:w="914" w:type="dxa"/>
          </w:tcPr>
          <w:p>
            <w:pPr>
              <w:pStyle w:val="TableParagraph"/>
              <w:rPr>
                <w:sz w:val="20"/>
              </w:rPr>
            </w:pPr>
            <w:r>
              <w:rPr>
                <w:color w:val="000009"/>
                <w:sz w:val="20"/>
              </w:rPr>
              <w:t>-4.39%</w:t>
            </w:r>
          </w:p>
        </w:tc>
        <w:tc>
          <w:tcPr>
            <w:tcW w:w="914" w:type="dxa"/>
          </w:tcPr>
          <w:p>
            <w:pPr>
              <w:pStyle w:val="TableParagraph"/>
              <w:rPr>
                <w:sz w:val="20"/>
              </w:rPr>
            </w:pPr>
            <w:r>
              <w:rPr>
                <w:color w:val="000009"/>
                <w:sz w:val="20"/>
              </w:rPr>
              <w:t>-27.52%</w:t>
            </w:r>
          </w:p>
        </w:tc>
        <w:tc>
          <w:tcPr>
            <w:tcW w:w="914" w:type="dxa"/>
          </w:tcPr>
          <w:p>
            <w:pPr>
              <w:pStyle w:val="TableParagraph"/>
              <w:rPr>
                <w:sz w:val="20"/>
              </w:rPr>
            </w:pPr>
            <w:r>
              <w:rPr>
                <w:color w:val="000009"/>
                <w:sz w:val="20"/>
              </w:rPr>
              <w:t>-16.30%</w:t>
            </w:r>
          </w:p>
        </w:tc>
        <w:tc>
          <w:tcPr>
            <w:tcW w:w="912" w:type="dxa"/>
          </w:tcPr>
          <w:p>
            <w:pPr>
              <w:pStyle w:val="TableParagraph"/>
              <w:rPr>
                <w:sz w:val="20"/>
              </w:rPr>
            </w:pPr>
            <w:r>
              <w:rPr>
                <w:color w:val="000009"/>
                <w:sz w:val="20"/>
              </w:rPr>
              <w:t>-26.12%</w:t>
            </w:r>
          </w:p>
        </w:tc>
        <w:tc>
          <w:tcPr>
            <w:tcW w:w="916" w:type="dxa"/>
          </w:tcPr>
          <w:p>
            <w:pPr>
              <w:pStyle w:val="TableParagraph"/>
              <w:rPr>
                <w:sz w:val="20"/>
              </w:rPr>
            </w:pPr>
            <w:r>
              <w:rPr>
                <w:color w:val="000009"/>
                <w:sz w:val="20"/>
              </w:rPr>
              <w:t>-20.66%</w:t>
            </w:r>
          </w:p>
        </w:tc>
      </w:tr>
      <w:tr>
        <w:trPr>
          <w:trHeight w:val="340" w:hRule="atLeast"/>
        </w:trPr>
        <w:tc>
          <w:tcPr>
            <w:tcW w:w="914" w:type="dxa"/>
          </w:tcPr>
          <w:p>
            <w:pPr>
              <w:pStyle w:val="TableParagraph"/>
              <w:ind w:left="57" w:right="0"/>
              <w:jc w:val="left"/>
              <w:rPr>
                <w:sz w:val="20"/>
              </w:rPr>
            </w:pPr>
            <w:r>
              <w:rPr>
                <w:color w:val="000009"/>
                <w:sz w:val="20"/>
              </w:rPr>
              <w:t>CSCO</w:t>
            </w:r>
          </w:p>
        </w:tc>
        <w:tc>
          <w:tcPr>
            <w:tcW w:w="914" w:type="dxa"/>
          </w:tcPr>
          <w:p>
            <w:pPr>
              <w:pStyle w:val="TableParagraph"/>
              <w:ind w:right="41"/>
              <w:rPr>
                <w:sz w:val="20"/>
              </w:rPr>
            </w:pPr>
            <w:r>
              <w:rPr>
                <w:color w:val="000009"/>
                <w:sz w:val="20"/>
              </w:rPr>
              <w:t>7.71%</w:t>
            </w:r>
          </w:p>
        </w:tc>
        <w:tc>
          <w:tcPr>
            <w:tcW w:w="912" w:type="dxa"/>
          </w:tcPr>
          <w:p>
            <w:pPr>
              <w:pStyle w:val="TableParagraph"/>
              <w:rPr>
                <w:sz w:val="20"/>
              </w:rPr>
            </w:pPr>
            <w:r>
              <w:rPr>
                <w:color w:val="000009"/>
                <w:sz w:val="20"/>
              </w:rPr>
              <w:t>11.76%</w:t>
            </w:r>
          </w:p>
        </w:tc>
        <w:tc>
          <w:tcPr>
            <w:tcW w:w="914" w:type="dxa"/>
          </w:tcPr>
          <w:p>
            <w:pPr>
              <w:pStyle w:val="TableParagraph"/>
              <w:ind w:left="345" w:right="0"/>
              <w:jc w:val="left"/>
              <w:rPr>
                <w:sz w:val="20"/>
              </w:rPr>
            </w:pPr>
            <w:r>
              <w:rPr>
                <w:color w:val="000009"/>
                <w:sz w:val="20"/>
              </w:rPr>
              <w:t>5.10%</w:t>
            </w:r>
          </w:p>
        </w:tc>
        <w:tc>
          <w:tcPr>
            <w:tcW w:w="914" w:type="dxa"/>
          </w:tcPr>
          <w:p>
            <w:pPr>
              <w:pStyle w:val="TableParagraph"/>
              <w:ind w:right="41"/>
              <w:rPr>
                <w:sz w:val="20"/>
              </w:rPr>
            </w:pPr>
            <w:r>
              <w:rPr>
                <w:color w:val="000009"/>
                <w:sz w:val="20"/>
              </w:rPr>
              <w:t>17.09%</w:t>
            </w:r>
          </w:p>
        </w:tc>
        <w:tc>
          <w:tcPr>
            <w:tcW w:w="914" w:type="dxa"/>
          </w:tcPr>
          <w:p>
            <w:pPr>
              <w:pStyle w:val="TableParagraph"/>
              <w:ind w:right="41"/>
              <w:rPr>
                <w:sz w:val="20"/>
              </w:rPr>
            </w:pPr>
            <w:r>
              <w:rPr>
                <w:color w:val="000009"/>
                <w:sz w:val="20"/>
              </w:rPr>
              <w:t>25.09%</w:t>
            </w:r>
          </w:p>
        </w:tc>
        <w:tc>
          <w:tcPr>
            <w:tcW w:w="914" w:type="dxa"/>
          </w:tcPr>
          <w:p>
            <w:pPr>
              <w:pStyle w:val="TableParagraph"/>
              <w:ind w:right="41"/>
              <w:rPr>
                <w:sz w:val="20"/>
              </w:rPr>
            </w:pPr>
            <w:r>
              <w:rPr>
                <w:color w:val="000009"/>
                <w:sz w:val="20"/>
              </w:rPr>
              <w:t>41.06%</w:t>
            </w:r>
          </w:p>
        </w:tc>
        <w:tc>
          <w:tcPr>
            <w:tcW w:w="912" w:type="dxa"/>
          </w:tcPr>
          <w:p>
            <w:pPr>
              <w:pStyle w:val="TableParagraph"/>
              <w:rPr>
                <w:sz w:val="20"/>
              </w:rPr>
            </w:pPr>
            <w:r>
              <w:rPr>
                <w:color w:val="000009"/>
                <w:sz w:val="20"/>
              </w:rPr>
              <w:t>17.84%</w:t>
            </w:r>
          </w:p>
        </w:tc>
        <w:tc>
          <w:tcPr>
            <w:tcW w:w="916" w:type="dxa"/>
          </w:tcPr>
          <w:p>
            <w:pPr>
              <w:pStyle w:val="TableParagraph"/>
              <w:ind w:right="41"/>
              <w:rPr>
                <w:sz w:val="20"/>
              </w:rPr>
            </w:pPr>
            <w:r>
              <w:rPr>
                <w:color w:val="000009"/>
                <w:sz w:val="20"/>
              </w:rPr>
              <w:t>42.27%</w:t>
            </w:r>
          </w:p>
        </w:tc>
      </w:tr>
      <w:tr>
        <w:trPr>
          <w:trHeight w:val="342" w:hRule="atLeast"/>
        </w:trPr>
        <w:tc>
          <w:tcPr>
            <w:tcW w:w="914" w:type="dxa"/>
          </w:tcPr>
          <w:p>
            <w:pPr>
              <w:pStyle w:val="TableParagraph"/>
              <w:ind w:left="57" w:right="0"/>
              <w:jc w:val="left"/>
              <w:rPr>
                <w:sz w:val="20"/>
              </w:rPr>
            </w:pPr>
            <w:r>
              <w:rPr>
                <w:color w:val="000009"/>
                <w:sz w:val="20"/>
              </w:rPr>
              <w:t>DIS</w:t>
            </w:r>
          </w:p>
        </w:tc>
        <w:tc>
          <w:tcPr>
            <w:tcW w:w="914" w:type="dxa"/>
          </w:tcPr>
          <w:p>
            <w:pPr>
              <w:pStyle w:val="TableParagraph"/>
              <w:ind w:right="41"/>
              <w:rPr>
                <w:sz w:val="20"/>
              </w:rPr>
            </w:pPr>
            <w:r>
              <w:rPr>
                <w:color w:val="000009"/>
                <w:sz w:val="20"/>
              </w:rPr>
              <w:t>6.53%</w:t>
            </w:r>
          </w:p>
        </w:tc>
        <w:tc>
          <w:tcPr>
            <w:tcW w:w="912" w:type="dxa"/>
          </w:tcPr>
          <w:p>
            <w:pPr>
              <w:pStyle w:val="TableParagraph"/>
              <w:rPr>
                <w:sz w:val="20"/>
              </w:rPr>
            </w:pPr>
            <w:r>
              <w:rPr>
                <w:color w:val="000009"/>
                <w:sz w:val="20"/>
              </w:rPr>
              <w:t>6.67%</w:t>
            </w:r>
          </w:p>
        </w:tc>
        <w:tc>
          <w:tcPr>
            <w:tcW w:w="914" w:type="dxa"/>
          </w:tcPr>
          <w:p>
            <w:pPr>
              <w:pStyle w:val="TableParagraph"/>
              <w:ind w:left="345" w:right="0"/>
              <w:jc w:val="left"/>
              <w:rPr>
                <w:sz w:val="20"/>
              </w:rPr>
            </w:pPr>
            <w:r>
              <w:rPr>
                <w:color w:val="000009"/>
                <w:sz w:val="20"/>
              </w:rPr>
              <w:t>6.49%</w:t>
            </w:r>
          </w:p>
        </w:tc>
        <w:tc>
          <w:tcPr>
            <w:tcW w:w="914" w:type="dxa"/>
          </w:tcPr>
          <w:p>
            <w:pPr>
              <w:pStyle w:val="TableParagraph"/>
              <w:ind w:right="41"/>
              <w:rPr>
                <w:sz w:val="20"/>
              </w:rPr>
            </w:pPr>
            <w:r>
              <w:rPr>
                <w:color w:val="000009"/>
                <w:sz w:val="20"/>
              </w:rPr>
              <w:t>11.51%</w:t>
            </w:r>
          </w:p>
        </w:tc>
        <w:tc>
          <w:tcPr>
            <w:tcW w:w="914" w:type="dxa"/>
          </w:tcPr>
          <w:p>
            <w:pPr>
              <w:pStyle w:val="TableParagraph"/>
              <w:ind w:right="41"/>
              <w:rPr>
                <w:sz w:val="20"/>
              </w:rPr>
            </w:pPr>
            <w:r>
              <w:rPr>
                <w:color w:val="000009"/>
                <w:sz w:val="20"/>
              </w:rPr>
              <w:t>10.38%</w:t>
            </w:r>
          </w:p>
        </w:tc>
        <w:tc>
          <w:tcPr>
            <w:tcW w:w="914" w:type="dxa"/>
          </w:tcPr>
          <w:p>
            <w:pPr>
              <w:pStyle w:val="TableParagraph"/>
              <w:ind w:right="41"/>
              <w:rPr>
                <w:sz w:val="20"/>
              </w:rPr>
            </w:pPr>
            <w:r>
              <w:rPr>
                <w:color w:val="000009"/>
                <w:sz w:val="20"/>
              </w:rPr>
              <w:t>9.22%</w:t>
            </w:r>
          </w:p>
        </w:tc>
        <w:tc>
          <w:tcPr>
            <w:tcW w:w="912" w:type="dxa"/>
          </w:tcPr>
          <w:p>
            <w:pPr>
              <w:pStyle w:val="TableParagraph"/>
              <w:rPr>
                <w:sz w:val="20"/>
              </w:rPr>
            </w:pPr>
            <w:r>
              <w:rPr>
                <w:color w:val="000009"/>
                <w:sz w:val="20"/>
              </w:rPr>
              <w:t>3.77%</w:t>
            </w:r>
          </w:p>
        </w:tc>
        <w:tc>
          <w:tcPr>
            <w:tcW w:w="916" w:type="dxa"/>
          </w:tcPr>
          <w:p>
            <w:pPr>
              <w:pStyle w:val="TableParagraph"/>
              <w:ind w:right="41"/>
              <w:rPr>
                <w:sz w:val="20"/>
              </w:rPr>
            </w:pPr>
            <w:r>
              <w:rPr>
                <w:color w:val="000009"/>
                <w:sz w:val="20"/>
              </w:rPr>
              <w:t>7.38%</w:t>
            </w:r>
          </w:p>
        </w:tc>
      </w:tr>
      <w:tr>
        <w:trPr>
          <w:trHeight w:val="340" w:hRule="atLeast"/>
        </w:trPr>
        <w:tc>
          <w:tcPr>
            <w:tcW w:w="914" w:type="dxa"/>
          </w:tcPr>
          <w:p>
            <w:pPr>
              <w:pStyle w:val="TableParagraph"/>
              <w:ind w:left="57" w:right="0"/>
              <w:jc w:val="left"/>
              <w:rPr>
                <w:sz w:val="20"/>
              </w:rPr>
            </w:pPr>
            <w:r>
              <w:rPr>
                <w:color w:val="000009"/>
                <w:sz w:val="20"/>
              </w:rPr>
              <w:t>GE</w:t>
            </w:r>
          </w:p>
        </w:tc>
        <w:tc>
          <w:tcPr>
            <w:tcW w:w="914" w:type="dxa"/>
          </w:tcPr>
          <w:p>
            <w:pPr>
              <w:pStyle w:val="TableParagraph"/>
              <w:rPr>
                <w:sz w:val="20"/>
              </w:rPr>
            </w:pPr>
            <w:r>
              <w:rPr>
                <w:color w:val="000009"/>
                <w:sz w:val="20"/>
              </w:rPr>
              <w:t>-2.03%</w:t>
            </w:r>
          </w:p>
        </w:tc>
        <w:tc>
          <w:tcPr>
            <w:tcW w:w="912" w:type="dxa"/>
          </w:tcPr>
          <w:p>
            <w:pPr>
              <w:pStyle w:val="TableParagraph"/>
              <w:rPr>
                <w:sz w:val="20"/>
              </w:rPr>
            </w:pPr>
            <w:r>
              <w:rPr>
                <w:color w:val="000009"/>
                <w:sz w:val="20"/>
              </w:rPr>
              <w:t>7.27%</w:t>
            </w:r>
          </w:p>
        </w:tc>
        <w:tc>
          <w:tcPr>
            <w:tcW w:w="914" w:type="dxa"/>
          </w:tcPr>
          <w:p>
            <w:pPr>
              <w:pStyle w:val="TableParagraph"/>
              <w:ind w:left="279" w:right="0"/>
              <w:jc w:val="left"/>
              <w:rPr>
                <w:sz w:val="20"/>
              </w:rPr>
            </w:pPr>
            <w:r>
              <w:rPr>
                <w:color w:val="000009"/>
                <w:sz w:val="20"/>
              </w:rPr>
              <w:t>-5.71%</w:t>
            </w:r>
          </w:p>
        </w:tc>
        <w:tc>
          <w:tcPr>
            <w:tcW w:w="914" w:type="dxa"/>
          </w:tcPr>
          <w:p>
            <w:pPr>
              <w:pStyle w:val="TableParagraph"/>
              <w:ind w:right="41"/>
              <w:rPr>
                <w:sz w:val="20"/>
              </w:rPr>
            </w:pPr>
            <w:r>
              <w:rPr>
                <w:color w:val="000009"/>
                <w:sz w:val="20"/>
              </w:rPr>
              <w:t>3.38%</w:t>
            </w:r>
          </w:p>
        </w:tc>
        <w:tc>
          <w:tcPr>
            <w:tcW w:w="914" w:type="dxa"/>
          </w:tcPr>
          <w:p>
            <w:pPr>
              <w:pStyle w:val="TableParagraph"/>
              <w:ind w:right="41"/>
              <w:rPr>
                <w:sz w:val="20"/>
              </w:rPr>
            </w:pPr>
            <w:r>
              <w:rPr>
                <w:color w:val="000009"/>
                <w:sz w:val="20"/>
              </w:rPr>
              <w:t>7.85%</w:t>
            </w:r>
          </w:p>
        </w:tc>
        <w:tc>
          <w:tcPr>
            <w:tcW w:w="914" w:type="dxa"/>
          </w:tcPr>
          <w:p>
            <w:pPr>
              <w:pStyle w:val="TableParagraph"/>
              <w:ind w:right="41"/>
              <w:rPr>
                <w:sz w:val="20"/>
              </w:rPr>
            </w:pPr>
            <w:r>
              <w:rPr>
                <w:color w:val="000009"/>
                <w:sz w:val="20"/>
              </w:rPr>
              <w:t>5.89%</w:t>
            </w:r>
          </w:p>
        </w:tc>
        <w:tc>
          <w:tcPr>
            <w:tcW w:w="912" w:type="dxa"/>
          </w:tcPr>
          <w:p>
            <w:pPr>
              <w:pStyle w:val="TableParagraph"/>
              <w:rPr>
                <w:sz w:val="20"/>
              </w:rPr>
            </w:pPr>
            <w:r>
              <w:rPr>
                <w:color w:val="000009"/>
                <w:sz w:val="20"/>
              </w:rPr>
              <w:t>4.33%</w:t>
            </w:r>
          </w:p>
        </w:tc>
        <w:tc>
          <w:tcPr>
            <w:tcW w:w="916" w:type="dxa"/>
          </w:tcPr>
          <w:p>
            <w:pPr>
              <w:pStyle w:val="TableParagraph"/>
              <w:ind w:right="41"/>
              <w:rPr>
                <w:sz w:val="20"/>
              </w:rPr>
            </w:pPr>
            <w:r>
              <w:rPr>
                <w:color w:val="000009"/>
                <w:sz w:val="20"/>
              </w:rPr>
              <w:t>4.34%</w:t>
            </w:r>
          </w:p>
        </w:tc>
      </w:tr>
      <w:tr>
        <w:trPr>
          <w:trHeight w:val="341" w:hRule="atLeast"/>
        </w:trPr>
        <w:tc>
          <w:tcPr>
            <w:tcW w:w="914" w:type="dxa"/>
          </w:tcPr>
          <w:p>
            <w:pPr>
              <w:pStyle w:val="TableParagraph"/>
              <w:ind w:left="57" w:right="0"/>
              <w:jc w:val="left"/>
              <w:rPr>
                <w:sz w:val="20"/>
              </w:rPr>
            </w:pPr>
            <w:r>
              <w:rPr>
                <w:color w:val="000009"/>
                <w:sz w:val="20"/>
              </w:rPr>
              <w:t>GS</w:t>
            </w:r>
          </w:p>
        </w:tc>
        <w:tc>
          <w:tcPr>
            <w:tcW w:w="914" w:type="dxa"/>
          </w:tcPr>
          <w:p>
            <w:pPr>
              <w:pStyle w:val="TableParagraph"/>
              <w:ind w:right="41"/>
              <w:rPr>
                <w:sz w:val="20"/>
              </w:rPr>
            </w:pPr>
            <w:r>
              <w:rPr>
                <w:color w:val="000009"/>
                <w:sz w:val="20"/>
              </w:rPr>
              <w:t>13.36%</w:t>
            </w:r>
          </w:p>
        </w:tc>
        <w:tc>
          <w:tcPr>
            <w:tcW w:w="912" w:type="dxa"/>
          </w:tcPr>
          <w:p>
            <w:pPr>
              <w:pStyle w:val="TableParagraph"/>
              <w:rPr>
                <w:sz w:val="20"/>
              </w:rPr>
            </w:pPr>
            <w:r>
              <w:rPr>
                <w:color w:val="000009"/>
                <w:sz w:val="20"/>
              </w:rPr>
              <w:t>13.15%</w:t>
            </w:r>
          </w:p>
        </w:tc>
        <w:tc>
          <w:tcPr>
            <w:tcW w:w="914" w:type="dxa"/>
          </w:tcPr>
          <w:p>
            <w:pPr>
              <w:pStyle w:val="TableParagraph"/>
              <w:ind w:left="345" w:right="0"/>
              <w:jc w:val="left"/>
              <w:rPr>
                <w:sz w:val="20"/>
              </w:rPr>
            </w:pPr>
            <w:r>
              <w:rPr>
                <w:color w:val="000009"/>
                <w:sz w:val="20"/>
              </w:rPr>
              <w:t>9.30%</w:t>
            </w:r>
          </w:p>
        </w:tc>
        <w:tc>
          <w:tcPr>
            <w:tcW w:w="914" w:type="dxa"/>
          </w:tcPr>
          <w:p>
            <w:pPr>
              <w:pStyle w:val="TableParagraph"/>
              <w:ind w:right="41"/>
              <w:rPr>
                <w:sz w:val="20"/>
              </w:rPr>
            </w:pPr>
            <w:r>
              <w:rPr>
                <w:color w:val="000009"/>
                <w:sz w:val="20"/>
              </w:rPr>
              <w:t>6.14%</w:t>
            </w:r>
          </w:p>
        </w:tc>
        <w:tc>
          <w:tcPr>
            <w:tcW w:w="914" w:type="dxa"/>
          </w:tcPr>
          <w:p>
            <w:pPr>
              <w:pStyle w:val="TableParagraph"/>
              <w:ind w:right="41"/>
              <w:rPr>
                <w:sz w:val="20"/>
              </w:rPr>
            </w:pPr>
            <w:r>
              <w:rPr>
                <w:color w:val="000009"/>
                <w:sz w:val="20"/>
              </w:rPr>
              <w:t>38.64%</w:t>
            </w:r>
          </w:p>
        </w:tc>
        <w:tc>
          <w:tcPr>
            <w:tcW w:w="914" w:type="dxa"/>
          </w:tcPr>
          <w:p>
            <w:pPr>
              <w:pStyle w:val="TableParagraph"/>
              <w:ind w:right="41"/>
              <w:rPr>
                <w:sz w:val="20"/>
              </w:rPr>
            </w:pPr>
            <w:r>
              <w:rPr>
                <w:color w:val="000009"/>
                <w:sz w:val="20"/>
              </w:rPr>
              <w:t>28.66%</w:t>
            </w:r>
          </w:p>
        </w:tc>
        <w:tc>
          <w:tcPr>
            <w:tcW w:w="912" w:type="dxa"/>
          </w:tcPr>
          <w:p>
            <w:pPr>
              <w:pStyle w:val="TableParagraph"/>
              <w:rPr>
                <w:sz w:val="20"/>
              </w:rPr>
            </w:pPr>
            <w:r>
              <w:rPr>
                <w:color w:val="000009"/>
                <w:sz w:val="20"/>
              </w:rPr>
              <w:t>33.16%</w:t>
            </w:r>
          </w:p>
        </w:tc>
        <w:tc>
          <w:tcPr>
            <w:tcW w:w="916" w:type="dxa"/>
          </w:tcPr>
          <w:p>
            <w:pPr>
              <w:pStyle w:val="TableParagraph"/>
              <w:ind w:right="41"/>
              <w:rPr>
                <w:sz w:val="20"/>
              </w:rPr>
            </w:pPr>
            <w:r>
              <w:rPr>
                <w:color w:val="000009"/>
                <w:sz w:val="20"/>
              </w:rPr>
              <w:t>14.46%</w:t>
            </w:r>
          </w:p>
        </w:tc>
      </w:tr>
      <w:tr>
        <w:trPr>
          <w:trHeight w:val="340" w:hRule="atLeast"/>
        </w:trPr>
        <w:tc>
          <w:tcPr>
            <w:tcW w:w="914" w:type="dxa"/>
          </w:tcPr>
          <w:p>
            <w:pPr>
              <w:pStyle w:val="TableParagraph"/>
              <w:ind w:left="57" w:right="0"/>
              <w:jc w:val="left"/>
              <w:rPr>
                <w:sz w:val="20"/>
              </w:rPr>
            </w:pPr>
            <w:r>
              <w:rPr>
                <w:color w:val="000009"/>
                <w:sz w:val="20"/>
              </w:rPr>
              <w:t>HD</w:t>
            </w:r>
          </w:p>
        </w:tc>
        <w:tc>
          <w:tcPr>
            <w:tcW w:w="914" w:type="dxa"/>
          </w:tcPr>
          <w:p>
            <w:pPr>
              <w:pStyle w:val="TableParagraph"/>
              <w:ind w:right="41"/>
              <w:rPr>
                <w:sz w:val="20"/>
              </w:rPr>
            </w:pPr>
            <w:r>
              <w:rPr>
                <w:color w:val="000009"/>
                <w:sz w:val="20"/>
              </w:rPr>
              <w:t>6.36%</w:t>
            </w:r>
          </w:p>
        </w:tc>
        <w:tc>
          <w:tcPr>
            <w:tcW w:w="912" w:type="dxa"/>
          </w:tcPr>
          <w:p>
            <w:pPr>
              <w:pStyle w:val="TableParagraph"/>
              <w:rPr>
                <w:sz w:val="20"/>
              </w:rPr>
            </w:pPr>
            <w:r>
              <w:rPr>
                <w:color w:val="000009"/>
                <w:sz w:val="20"/>
              </w:rPr>
              <w:t>4.86%</w:t>
            </w:r>
          </w:p>
        </w:tc>
        <w:tc>
          <w:tcPr>
            <w:tcW w:w="914" w:type="dxa"/>
          </w:tcPr>
          <w:p>
            <w:pPr>
              <w:pStyle w:val="TableParagraph"/>
              <w:ind w:left="345" w:right="0"/>
              <w:jc w:val="left"/>
              <w:rPr>
                <w:sz w:val="20"/>
              </w:rPr>
            </w:pPr>
            <w:r>
              <w:rPr>
                <w:color w:val="000009"/>
                <w:sz w:val="20"/>
              </w:rPr>
              <w:t>5.33%</w:t>
            </w:r>
          </w:p>
        </w:tc>
        <w:tc>
          <w:tcPr>
            <w:tcW w:w="914" w:type="dxa"/>
          </w:tcPr>
          <w:p>
            <w:pPr>
              <w:pStyle w:val="TableParagraph"/>
              <w:ind w:right="41"/>
              <w:rPr>
                <w:sz w:val="20"/>
              </w:rPr>
            </w:pPr>
            <w:r>
              <w:rPr>
                <w:color w:val="000009"/>
                <w:sz w:val="20"/>
              </w:rPr>
              <w:t>2.78%</w:t>
            </w:r>
          </w:p>
        </w:tc>
        <w:tc>
          <w:tcPr>
            <w:tcW w:w="914" w:type="dxa"/>
          </w:tcPr>
          <w:p>
            <w:pPr>
              <w:pStyle w:val="TableParagraph"/>
              <w:ind w:right="41"/>
              <w:rPr>
                <w:sz w:val="20"/>
              </w:rPr>
            </w:pPr>
            <w:r>
              <w:rPr>
                <w:color w:val="000009"/>
                <w:sz w:val="20"/>
              </w:rPr>
              <w:t>6.98%</w:t>
            </w:r>
          </w:p>
        </w:tc>
        <w:tc>
          <w:tcPr>
            <w:tcW w:w="914" w:type="dxa"/>
          </w:tcPr>
          <w:p>
            <w:pPr>
              <w:pStyle w:val="TableParagraph"/>
              <w:ind w:right="41"/>
              <w:rPr>
                <w:sz w:val="20"/>
              </w:rPr>
            </w:pPr>
            <w:r>
              <w:rPr>
                <w:color w:val="000009"/>
                <w:sz w:val="20"/>
              </w:rPr>
              <w:t>0.30%</w:t>
            </w:r>
          </w:p>
        </w:tc>
        <w:tc>
          <w:tcPr>
            <w:tcW w:w="912" w:type="dxa"/>
          </w:tcPr>
          <w:p>
            <w:pPr>
              <w:pStyle w:val="TableParagraph"/>
              <w:rPr>
                <w:sz w:val="20"/>
              </w:rPr>
            </w:pPr>
            <w:r>
              <w:rPr>
                <w:color w:val="000009"/>
                <w:sz w:val="20"/>
              </w:rPr>
              <w:t>7.38%</w:t>
            </w:r>
          </w:p>
        </w:tc>
        <w:tc>
          <w:tcPr>
            <w:tcW w:w="916" w:type="dxa"/>
          </w:tcPr>
          <w:p>
            <w:pPr>
              <w:pStyle w:val="TableParagraph"/>
              <w:ind w:right="41"/>
              <w:rPr>
                <w:sz w:val="20"/>
              </w:rPr>
            </w:pPr>
            <w:r>
              <w:rPr>
                <w:color w:val="000009"/>
                <w:sz w:val="20"/>
              </w:rPr>
              <w:t>0.64%</w:t>
            </w:r>
          </w:p>
        </w:tc>
      </w:tr>
      <w:tr>
        <w:trPr>
          <w:trHeight w:val="342" w:hRule="atLeast"/>
        </w:trPr>
        <w:tc>
          <w:tcPr>
            <w:tcW w:w="914" w:type="dxa"/>
          </w:tcPr>
          <w:p>
            <w:pPr>
              <w:pStyle w:val="TableParagraph"/>
              <w:ind w:left="57" w:right="0"/>
              <w:jc w:val="left"/>
              <w:rPr>
                <w:sz w:val="20"/>
              </w:rPr>
            </w:pPr>
            <w:r>
              <w:rPr>
                <w:color w:val="000009"/>
                <w:sz w:val="20"/>
              </w:rPr>
              <w:t>IBM</w:t>
            </w:r>
          </w:p>
        </w:tc>
        <w:tc>
          <w:tcPr>
            <w:tcW w:w="914" w:type="dxa"/>
          </w:tcPr>
          <w:p>
            <w:pPr>
              <w:pStyle w:val="TableParagraph"/>
              <w:ind w:right="41"/>
              <w:rPr>
                <w:sz w:val="20"/>
              </w:rPr>
            </w:pPr>
            <w:r>
              <w:rPr>
                <w:color w:val="000009"/>
                <w:sz w:val="20"/>
              </w:rPr>
              <w:t>13.24%</w:t>
            </w:r>
          </w:p>
        </w:tc>
        <w:tc>
          <w:tcPr>
            <w:tcW w:w="912" w:type="dxa"/>
          </w:tcPr>
          <w:p>
            <w:pPr>
              <w:pStyle w:val="TableParagraph"/>
              <w:rPr>
                <w:sz w:val="20"/>
              </w:rPr>
            </w:pPr>
            <w:r>
              <w:rPr>
                <w:color w:val="000009"/>
                <w:sz w:val="20"/>
              </w:rPr>
              <w:t>4.18%</w:t>
            </w:r>
          </w:p>
        </w:tc>
        <w:tc>
          <w:tcPr>
            <w:tcW w:w="914" w:type="dxa"/>
          </w:tcPr>
          <w:p>
            <w:pPr>
              <w:pStyle w:val="TableParagraph"/>
              <w:ind w:left="245" w:right="0"/>
              <w:jc w:val="left"/>
              <w:rPr>
                <w:sz w:val="20"/>
              </w:rPr>
            </w:pPr>
            <w:r>
              <w:rPr>
                <w:color w:val="000009"/>
                <w:sz w:val="20"/>
              </w:rPr>
              <w:t>13.24%</w:t>
            </w:r>
          </w:p>
        </w:tc>
        <w:tc>
          <w:tcPr>
            <w:tcW w:w="914" w:type="dxa"/>
          </w:tcPr>
          <w:p>
            <w:pPr>
              <w:pStyle w:val="TableParagraph"/>
              <w:ind w:right="41"/>
              <w:rPr>
                <w:sz w:val="20"/>
              </w:rPr>
            </w:pPr>
            <w:r>
              <w:rPr>
                <w:color w:val="000009"/>
                <w:sz w:val="20"/>
              </w:rPr>
              <w:t>4.18%</w:t>
            </w:r>
          </w:p>
        </w:tc>
        <w:tc>
          <w:tcPr>
            <w:tcW w:w="914" w:type="dxa"/>
          </w:tcPr>
          <w:p>
            <w:pPr>
              <w:pStyle w:val="TableParagraph"/>
              <w:ind w:right="41"/>
              <w:rPr>
                <w:sz w:val="20"/>
              </w:rPr>
            </w:pPr>
            <w:r>
              <w:rPr>
                <w:color w:val="000009"/>
                <w:sz w:val="20"/>
              </w:rPr>
              <w:t>9.86%</w:t>
            </w:r>
          </w:p>
        </w:tc>
        <w:tc>
          <w:tcPr>
            <w:tcW w:w="914" w:type="dxa"/>
          </w:tcPr>
          <w:p>
            <w:pPr>
              <w:pStyle w:val="TableParagraph"/>
              <w:rPr>
                <w:sz w:val="20"/>
              </w:rPr>
            </w:pPr>
            <w:r>
              <w:rPr>
                <w:color w:val="000009"/>
                <w:sz w:val="20"/>
              </w:rPr>
              <w:t>-0.29%</w:t>
            </w:r>
          </w:p>
        </w:tc>
        <w:tc>
          <w:tcPr>
            <w:tcW w:w="912" w:type="dxa"/>
          </w:tcPr>
          <w:p>
            <w:pPr>
              <w:pStyle w:val="TableParagraph"/>
              <w:rPr>
                <w:sz w:val="20"/>
              </w:rPr>
            </w:pPr>
            <w:r>
              <w:rPr>
                <w:color w:val="000009"/>
                <w:sz w:val="20"/>
              </w:rPr>
              <w:t>10.42%</w:t>
            </w:r>
          </w:p>
        </w:tc>
        <w:tc>
          <w:tcPr>
            <w:tcW w:w="916" w:type="dxa"/>
          </w:tcPr>
          <w:p>
            <w:pPr>
              <w:pStyle w:val="TableParagraph"/>
              <w:ind w:right="41"/>
              <w:rPr>
                <w:sz w:val="20"/>
              </w:rPr>
            </w:pPr>
            <w:r>
              <w:rPr>
                <w:color w:val="000009"/>
                <w:sz w:val="20"/>
              </w:rPr>
              <w:t>0.21%</w:t>
            </w:r>
          </w:p>
        </w:tc>
      </w:tr>
      <w:tr>
        <w:trPr>
          <w:trHeight w:val="340" w:hRule="atLeast"/>
        </w:trPr>
        <w:tc>
          <w:tcPr>
            <w:tcW w:w="914" w:type="dxa"/>
          </w:tcPr>
          <w:p>
            <w:pPr>
              <w:pStyle w:val="TableParagraph"/>
              <w:ind w:left="57" w:right="0"/>
              <w:jc w:val="left"/>
              <w:rPr>
                <w:sz w:val="20"/>
              </w:rPr>
            </w:pPr>
            <w:r>
              <w:rPr>
                <w:color w:val="000009"/>
                <w:sz w:val="20"/>
              </w:rPr>
              <w:t>INTC</w:t>
            </w:r>
          </w:p>
        </w:tc>
        <w:tc>
          <w:tcPr>
            <w:tcW w:w="914" w:type="dxa"/>
          </w:tcPr>
          <w:p>
            <w:pPr>
              <w:pStyle w:val="TableParagraph"/>
              <w:ind w:right="41"/>
              <w:rPr>
                <w:sz w:val="20"/>
              </w:rPr>
            </w:pPr>
            <w:r>
              <w:rPr>
                <w:color w:val="000009"/>
                <w:sz w:val="20"/>
              </w:rPr>
              <w:t>11.82%</w:t>
            </w:r>
          </w:p>
        </w:tc>
        <w:tc>
          <w:tcPr>
            <w:tcW w:w="912" w:type="dxa"/>
          </w:tcPr>
          <w:p>
            <w:pPr>
              <w:pStyle w:val="TableParagraph"/>
              <w:rPr>
                <w:sz w:val="20"/>
              </w:rPr>
            </w:pPr>
            <w:r>
              <w:rPr>
                <w:color w:val="000009"/>
                <w:sz w:val="20"/>
              </w:rPr>
              <w:t>10.08%</w:t>
            </w:r>
          </w:p>
        </w:tc>
        <w:tc>
          <w:tcPr>
            <w:tcW w:w="914" w:type="dxa"/>
          </w:tcPr>
          <w:p>
            <w:pPr>
              <w:pStyle w:val="TableParagraph"/>
              <w:ind w:left="254" w:right="0"/>
              <w:jc w:val="left"/>
              <w:rPr>
                <w:sz w:val="20"/>
              </w:rPr>
            </w:pPr>
            <w:r>
              <w:rPr>
                <w:color w:val="000009"/>
                <w:sz w:val="20"/>
              </w:rPr>
              <w:t>11.70%</w:t>
            </w:r>
          </w:p>
        </w:tc>
        <w:tc>
          <w:tcPr>
            <w:tcW w:w="914" w:type="dxa"/>
          </w:tcPr>
          <w:p>
            <w:pPr>
              <w:pStyle w:val="TableParagraph"/>
              <w:ind w:right="41"/>
              <w:rPr>
                <w:sz w:val="20"/>
              </w:rPr>
            </w:pPr>
            <w:r>
              <w:rPr>
                <w:color w:val="000009"/>
                <w:sz w:val="20"/>
              </w:rPr>
              <w:t>9.90%</w:t>
            </w:r>
          </w:p>
        </w:tc>
        <w:tc>
          <w:tcPr>
            <w:tcW w:w="914" w:type="dxa"/>
          </w:tcPr>
          <w:p>
            <w:pPr>
              <w:pStyle w:val="TableParagraph"/>
              <w:ind w:right="41"/>
              <w:rPr>
                <w:sz w:val="20"/>
              </w:rPr>
            </w:pPr>
            <w:r>
              <w:rPr>
                <w:color w:val="000009"/>
                <w:sz w:val="20"/>
              </w:rPr>
              <w:t>17.87%</w:t>
            </w:r>
          </w:p>
        </w:tc>
        <w:tc>
          <w:tcPr>
            <w:tcW w:w="914" w:type="dxa"/>
          </w:tcPr>
          <w:p>
            <w:pPr>
              <w:pStyle w:val="TableParagraph"/>
              <w:ind w:right="41"/>
              <w:rPr>
                <w:sz w:val="20"/>
              </w:rPr>
            </w:pPr>
            <w:r>
              <w:rPr>
                <w:color w:val="000009"/>
                <w:sz w:val="20"/>
              </w:rPr>
              <w:t>14.71%</w:t>
            </w:r>
          </w:p>
        </w:tc>
        <w:tc>
          <w:tcPr>
            <w:tcW w:w="912" w:type="dxa"/>
          </w:tcPr>
          <w:p>
            <w:pPr>
              <w:pStyle w:val="TableParagraph"/>
              <w:rPr>
                <w:sz w:val="20"/>
              </w:rPr>
            </w:pPr>
            <w:r>
              <w:rPr>
                <w:color w:val="000009"/>
                <w:sz w:val="20"/>
              </w:rPr>
              <w:t>14.75%</w:t>
            </w:r>
          </w:p>
        </w:tc>
        <w:tc>
          <w:tcPr>
            <w:tcW w:w="916" w:type="dxa"/>
          </w:tcPr>
          <w:p>
            <w:pPr>
              <w:pStyle w:val="TableParagraph"/>
              <w:ind w:right="41"/>
              <w:rPr>
                <w:sz w:val="20"/>
              </w:rPr>
            </w:pPr>
            <w:r>
              <w:rPr>
                <w:color w:val="000009"/>
                <w:sz w:val="20"/>
              </w:rPr>
              <w:t>11.35%</w:t>
            </w:r>
          </w:p>
        </w:tc>
      </w:tr>
      <w:tr>
        <w:trPr>
          <w:trHeight w:val="342" w:hRule="atLeast"/>
        </w:trPr>
        <w:tc>
          <w:tcPr>
            <w:tcW w:w="914" w:type="dxa"/>
          </w:tcPr>
          <w:p>
            <w:pPr>
              <w:pStyle w:val="TableParagraph"/>
              <w:ind w:left="57" w:right="0"/>
              <w:jc w:val="left"/>
              <w:rPr>
                <w:sz w:val="20"/>
              </w:rPr>
            </w:pPr>
            <w:r>
              <w:rPr>
                <w:color w:val="000009"/>
                <w:sz w:val="20"/>
              </w:rPr>
              <w:t>JNJ</w:t>
            </w:r>
          </w:p>
        </w:tc>
        <w:tc>
          <w:tcPr>
            <w:tcW w:w="914" w:type="dxa"/>
          </w:tcPr>
          <w:p>
            <w:pPr>
              <w:pStyle w:val="TableParagraph"/>
              <w:ind w:right="41"/>
              <w:rPr>
                <w:sz w:val="20"/>
              </w:rPr>
            </w:pPr>
            <w:r>
              <w:rPr>
                <w:color w:val="000009"/>
                <w:sz w:val="20"/>
              </w:rPr>
              <w:t>0.46%</w:t>
            </w:r>
          </w:p>
        </w:tc>
        <w:tc>
          <w:tcPr>
            <w:tcW w:w="912" w:type="dxa"/>
          </w:tcPr>
          <w:p>
            <w:pPr>
              <w:pStyle w:val="TableParagraph"/>
              <w:rPr>
                <w:sz w:val="20"/>
              </w:rPr>
            </w:pPr>
            <w:r>
              <w:rPr>
                <w:color w:val="000009"/>
                <w:sz w:val="20"/>
              </w:rPr>
              <w:t>2.52%</w:t>
            </w:r>
          </w:p>
        </w:tc>
        <w:tc>
          <w:tcPr>
            <w:tcW w:w="914" w:type="dxa"/>
          </w:tcPr>
          <w:p>
            <w:pPr>
              <w:pStyle w:val="TableParagraph"/>
              <w:ind w:left="345" w:right="0"/>
              <w:jc w:val="left"/>
              <w:rPr>
                <w:sz w:val="20"/>
              </w:rPr>
            </w:pPr>
            <w:r>
              <w:rPr>
                <w:color w:val="000009"/>
                <w:sz w:val="20"/>
              </w:rPr>
              <w:t>0.46%</w:t>
            </w:r>
          </w:p>
        </w:tc>
        <w:tc>
          <w:tcPr>
            <w:tcW w:w="914" w:type="dxa"/>
          </w:tcPr>
          <w:p>
            <w:pPr>
              <w:pStyle w:val="TableParagraph"/>
              <w:ind w:right="41"/>
              <w:rPr>
                <w:sz w:val="20"/>
              </w:rPr>
            </w:pPr>
            <w:r>
              <w:rPr>
                <w:color w:val="000009"/>
                <w:sz w:val="20"/>
              </w:rPr>
              <w:t>2.09%</w:t>
            </w:r>
          </w:p>
        </w:tc>
        <w:tc>
          <w:tcPr>
            <w:tcW w:w="914" w:type="dxa"/>
          </w:tcPr>
          <w:p>
            <w:pPr>
              <w:pStyle w:val="TableParagraph"/>
              <w:rPr>
                <w:sz w:val="20"/>
              </w:rPr>
            </w:pPr>
            <w:r>
              <w:rPr>
                <w:color w:val="000009"/>
                <w:sz w:val="20"/>
              </w:rPr>
              <w:t>-0.57%</w:t>
            </w:r>
          </w:p>
        </w:tc>
        <w:tc>
          <w:tcPr>
            <w:tcW w:w="914" w:type="dxa"/>
          </w:tcPr>
          <w:p>
            <w:pPr>
              <w:pStyle w:val="TableParagraph"/>
              <w:ind w:right="41"/>
              <w:rPr>
                <w:sz w:val="20"/>
              </w:rPr>
            </w:pPr>
            <w:r>
              <w:rPr>
                <w:color w:val="000009"/>
                <w:sz w:val="20"/>
              </w:rPr>
              <w:t>6.50%</w:t>
            </w:r>
          </w:p>
        </w:tc>
        <w:tc>
          <w:tcPr>
            <w:tcW w:w="912" w:type="dxa"/>
          </w:tcPr>
          <w:p>
            <w:pPr>
              <w:pStyle w:val="TableParagraph"/>
              <w:rPr>
                <w:sz w:val="20"/>
              </w:rPr>
            </w:pPr>
            <w:r>
              <w:rPr>
                <w:color w:val="000009"/>
                <w:sz w:val="20"/>
              </w:rPr>
              <w:t>-0.91%</w:t>
            </w:r>
          </w:p>
        </w:tc>
        <w:tc>
          <w:tcPr>
            <w:tcW w:w="916" w:type="dxa"/>
          </w:tcPr>
          <w:p>
            <w:pPr>
              <w:pStyle w:val="TableParagraph"/>
              <w:ind w:right="41"/>
              <w:rPr>
                <w:sz w:val="20"/>
              </w:rPr>
            </w:pPr>
            <w:r>
              <w:rPr>
                <w:color w:val="000009"/>
                <w:sz w:val="20"/>
              </w:rPr>
              <w:t>5.70%</w:t>
            </w:r>
          </w:p>
        </w:tc>
      </w:tr>
      <w:tr>
        <w:trPr>
          <w:trHeight w:val="340" w:hRule="atLeast"/>
        </w:trPr>
        <w:tc>
          <w:tcPr>
            <w:tcW w:w="914" w:type="dxa"/>
          </w:tcPr>
          <w:p>
            <w:pPr>
              <w:pStyle w:val="TableParagraph"/>
              <w:ind w:left="57" w:right="0"/>
              <w:jc w:val="left"/>
              <w:rPr>
                <w:sz w:val="20"/>
              </w:rPr>
            </w:pPr>
            <w:r>
              <w:rPr>
                <w:color w:val="000009"/>
                <w:sz w:val="20"/>
              </w:rPr>
              <w:t>JPM</w:t>
            </w:r>
          </w:p>
        </w:tc>
        <w:tc>
          <w:tcPr>
            <w:tcW w:w="914" w:type="dxa"/>
          </w:tcPr>
          <w:p>
            <w:pPr>
              <w:pStyle w:val="TableParagraph"/>
              <w:ind w:right="41"/>
              <w:rPr>
                <w:sz w:val="20"/>
              </w:rPr>
            </w:pPr>
            <w:r>
              <w:rPr>
                <w:color w:val="000009"/>
                <w:sz w:val="20"/>
              </w:rPr>
              <w:t>1.61%</w:t>
            </w:r>
          </w:p>
        </w:tc>
        <w:tc>
          <w:tcPr>
            <w:tcW w:w="912" w:type="dxa"/>
          </w:tcPr>
          <w:p>
            <w:pPr>
              <w:pStyle w:val="TableParagraph"/>
              <w:rPr>
                <w:sz w:val="20"/>
              </w:rPr>
            </w:pPr>
            <w:r>
              <w:rPr>
                <w:color w:val="000009"/>
                <w:sz w:val="20"/>
              </w:rPr>
              <w:t>13.43%</w:t>
            </w:r>
          </w:p>
        </w:tc>
        <w:tc>
          <w:tcPr>
            <w:tcW w:w="914" w:type="dxa"/>
          </w:tcPr>
          <w:p>
            <w:pPr>
              <w:pStyle w:val="TableParagraph"/>
              <w:ind w:left="345" w:right="0"/>
              <w:jc w:val="left"/>
              <w:rPr>
                <w:sz w:val="20"/>
              </w:rPr>
            </w:pPr>
            <w:r>
              <w:rPr>
                <w:color w:val="000009"/>
                <w:sz w:val="20"/>
              </w:rPr>
              <w:t>1.22%</w:t>
            </w:r>
          </w:p>
        </w:tc>
        <w:tc>
          <w:tcPr>
            <w:tcW w:w="914" w:type="dxa"/>
          </w:tcPr>
          <w:p>
            <w:pPr>
              <w:pStyle w:val="TableParagraph"/>
              <w:ind w:right="41"/>
              <w:rPr>
                <w:sz w:val="20"/>
              </w:rPr>
            </w:pPr>
            <w:r>
              <w:rPr>
                <w:color w:val="000009"/>
                <w:sz w:val="20"/>
              </w:rPr>
              <w:t>8.53%</w:t>
            </w:r>
          </w:p>
        </w:tc>
        <w:tc>
          <w:tcPr>
            <w:tcW w:w="914" w:type="dxa"/>
          </w:tcPr>
          <w:p>
            <w:pPr>
              <w:pStyle w:val="TableParagraph"/>
              <w:ind w:right="41"/>
              <w:rPr>
                <w:sz w:val="20"/>
              </w:rPr>
            </w:pPr>
            <w:r>
              <w:rPr>
                <w:color w:val="000009"/>
                <w:sz w:val="20"/>
              </w:rPr>
              <w:t>9.30%</w:t>
            </w:r>
          </w:p>
        </w:tc>
        <w:tc>
          <w:tcPr>
            <w:tcW w:w="914" w:type="dxa"/>
          </w:tcPr>
          <w:p>
            <w:pPr>
              <w:pStyle w:val="TableParagraph"/>
              <w:ind w:right="41"/>
              <w:rPr>
                <w:sz w:val="20"/>
              </w:rPr>
            </w:pPr>
            <w:r>
              <w:rPr>
                <w:color w:val="000009"/>
                <w:sz w:val="20"/>
              </w:rPr>
              <w:t>28.19%</w:t>
            </w:r>
          </w:p>
        </w:tc>
        <w:tc>
          <w:tcPr>
            <w:tcW w:w="912" w:type="dxa"/>
          </w:tcPr>
          <w:p>
            <w:pPr>
              <w:pStyle w:val="TableParagraph"/>
              <w:rPr>
                <w:sz w:val="20"/>
              </w:rPr>
            </w:pPr>
            <w:r>
              <w:rPr>
                <w:color w:val="000009"/>
                <w:sz w:val="20"/>
              </w:rPr>
              <w:t>0.48%</w:t>
            </w:r>
          </w:p>
        </w:tc>
        <w:tc>
          <w:tcPr>
            <w:tcW w:w="916" w:type="dxa"/>
          </w:tcPr>
          <w:p>
            <w:pPr>
              <w:pStyle w:val="TableParagraph"/>
              <w:ind w:right="41"/>
              <w:rPr>
                <w:sz w:val="20"/>
              </w:rPr>
            </w:pPr>
            <w:r>
              <w:rPr>
                <w:color w:val="000009"/>
                <w:sz w:val="20"/>
              </w:rPr>
              <w:t>20.00%</w:t>
            </w:r>
          </w:p>
        </w:tc>
      </w:tr>
      <w:tr>
        <w:trPr>
          <w:trHeight w:val="342" w:hRule="atLeast"/>
        </w:trPr>
        <w:tc>
          <w:tcPr>
            <w:tcW w:w="914" w:type="dxa"/>
          </w:tcPr>
          <w:p>
            <w:pPr>
              <w:pStyle w:val="TableParagraph"/>
              <w:ind w:left="57" w:right="0"/>
              <w:jc w:val="left"/>
              <w:rPr>
                <w:sz w:val="20"/>
              </w:rPr>
            </w:pPr>
            <w:r>
              <w:rPr>
                <w:color w:val="000009"/>
                <w:sz w:val="20"/>
              </w:rPr>
              <w:t>KO</w:t>
            </w:r>
          </w:p>
        </w:tc>
        <w:tc>
          <w:tcPr>
            <w:tcW w:w="914" w:type="dxa"/>
          </w:tcPr>
          <w:p>
            <w:pPr>
              <w:pStyle w:val="TableParagraph"/>
              <w:ind w:right="41"/>
              <w:rPr>
                <w:sz w:val="20"/>
              </w:rPr>
            </w:pPr>
            <w:r>
              <w:rPr>
                <w:color w:val="000009"/>
                <w:sz w:val="20"/>
              </w:rPr>
              <w:t>13.64%</w:t>
            </w:r>
          </w:p>
        </w:tc>
        <w:tc>
          <w:tcPr>
            <w:tcW w:w="912" w:type="dxa"/>
          </w:tcPr>
          <w:p>
            <w:pPr>
              <w:pStyle w:val="TableParagraph"/>
              <w:rPr>
                <w:sz w:val="20"/>
              </w:rPr>
            </w:pPr>
            <w:r>
              <w:rPr>
                <w:color w:val="000009"/>
                <w:sz w:val="20"/>
              </w:rPr>
              <w:t>12.92%</w:t>
            </w:r>
          </w:p>
        </w:tc>
        <w:tc>
          <w:tcPr>
            <w:tcW w:w="914" w:type="dxa"/>
          </w:tcPr>
          <w:p>
            <w:pPr>
              <w:pStyle w:val="TableParagraph"/>
              <w:ind w:left="245" w:right="0"/>
              <w:jc w:val="left"/>
              <w:rPr>
                <w:sz w:val="20"/>
              </w:rPr>
            </w:pPr>
            <w:r>
              <w:rPr>
                <w:color w:val="000009"/>
                <w:sz w:val="20"/>
              </w:rPr>
              <w:t>14.76%</w:t>
            </w:r>
          </w:p>
        </w:tc>
        <w:tc>
          <w:tcPr>
            <w:tcW w:w="914" w:type="dxa"/>
          </w:tcPr>
          <w:p>
            <w:pPr>
              <w:pStyle w:val="TableParagraph"/>
              <w:ind w:right="41"/>
              <w:rPr>
                <w:sz w:val="20"/>
              </w:rPr>
            </w:pPr>
            <w:r>
              <w:rPr>
                <w:color w:val="000009"/>
                <w:sz w:val="20"/>
              </w:rPr>
              <w:t>13.87%</w:t>
            </w:r>
          </w:p>
        </w:tc>
        <w:tc>
          <w:tcPr>
            <w:tcW w:w="914" w:type="dxa"/>
          </w:tcPr>
          <w:p>
            <w:pPr>
              <w:pStyle w:val="TableParagraph"/>
              <w:ind w:right="41"/>
              <w:rPr>
                <w:sz w:val="20"/>
              </w:rPr>
            </w:pPr>
            <w:r>
              <w:rPr>
                <w:color w:val="000009"/>
                <w:sz w:val="20"/>
              </w:rPr>
              <w:t>20.40%</w:t>
            </w:r>
          </w:p>
        </w:tc>
        <w:tc>
          <w:tcPr>
            <w:tcW w:w="914" w:type="dxa"/>
          </w:tcPr>
          <w:p>
            <w:pPr>
              <w:pStyle w:val="TableParagraph"/>
              <w:ind w:right="41"/>
              <w:rPr>
                <w:sz w:val="20"/>
              </w:rPr>
            </w:pPr>
            <w:r>
              <w:rPr>
                <w:color w:val="000009"/>
                <w:sz w:val="20"/>
              </w:rPr>
              <w:t>18.77%</w:t>
            </w:r>
          </w:p>
        </w:tc>
        <w:tc>
          <w:tcPr>
            <w:tcW w:w="912" w:type="dxa"/>
          </w:tcPr>
          <w:p>
            <w:pPr>
              <w:pStyle w:val="TableParagraph"/>
              <w:rPr>
                <w:sz w:val="20"/>
              </w:rPr>
            </w:pPr>
            <w:r>
              <w:rPr>
                <w:color w:val="000009"/>
                <w:sz w:val="20"/>
              </w:rPr>
              <w:t>18.55%</w:t>
            </w:r>
          </w:p>
        </w:tc>
        <w:tc>
          <w:tcPr>
            <w:tcW w:w="916" w:type="dxa"/>
          </w:tcPr>
          <w:p>
            <w:pPr>
              <w:pStyle w:val="TableParagraph"/>
              <w:ind w:right="41"/>
              <w:rPr>
                <w:sz w:val="20"/>
              </w:rPr>
            </w:pPr>
            <w:r>
              <w:rPr>
                <w:color w:val="000009"/>
                <w:sz w:val="20"/>
              </w:rPr>
              <w:t>16.78%</w:t>
            </w:r>
          </w:p>
        </w:tc>
      </w:tr>
      <w:tr>
        <w:trPr>
          <w:trHeight w:val="340" w:hRule="atLeast"/>
        </w:trPr>
        <w:tc>
          <w:tcPr>
            <w:tcW w:w="914" w:type="dxa"/>
          </w:tcPr>
          <w:p>
            <w:pPr>
              <w:pStyle w:val="TableParagraph"/>
              <w:ind w:left="57" w:right="0"/>
              <w:jc w:val="left"/>
              <w:rPr>
                <w:sz w:val="20"/>
              </w:rPr>
            </w:pPr>
            <w:r>
              <w:rPr>
                <w:color w:val="000009"/>
                <w:sz w:val="20"/>
              </w:rPr>
              <w:t>MCD</w:t>
            </w:r>
          </w:p>
        </w:tc>
        <w:tc>
          <w:tcPr>
            <w:tcW w:w="914" w:type="dxa"/>
          </w:tcPr>
          <w:p>
            <w:pPr>
              <w:pStyle w:val="TableParagraph"/>
              <w:ind w:right="41"/>
              <w:rPr>
                <w:sz w:val="20"/>
              </w:rPr>
            </w:pPr>
            <w:r>
              <w:rPr>
                <w:color w:val="000009"/>
                <w:sz w:val="20"/>
              </w:rPr>
              <w:t>14.70%</w:t>
            </w:r>
          </w:p>
        </w:tc>
        <w:tc>
          <w:tcPr>
            <w:tcW w:w="912" w:type="dxa"/>
          </w:tcPr>
          <w:p>
            <w:pPr>
              <w:pStyle w:val="TableParagraph"/>
              <w:rPr>
                <w:sz w:val="20"/>
              </w:rPr>
            </w:pPr>
            <w:r>
              <w:rPr>
                <w:color w:val="000009"/>
                <w:sz w:val="20"/>
              </w:rPr>
              <w:t>5.62%</w:t>
            </w:r>
          </w:p>
        </w:tc>
        <w:tc>
          <w:tcPr>
            <w:tcW w:w="914" w:type="dxa"/>
          </w:tcPr>
          <w:p>
            <w:pPr>
              <w:pStyle w:val="TableParagraph"/>
              <w:ind w:left="245" w:right="0"/>
              <w:jc w:val="left"/>
              <w:rPr>
                <w:sz w:val="20"/>
              </w:rPr>
            </w:pPr>
            <w:r>
              <w:rPr>
                <w:color w:val="000009"/>
                <w:sz w:val="20"/>
              </w:rPr>
              <w:t>14.05%</w:t>
            </w:r>
          </w:p>
        </w:tc>
        <w:tc>
          <w:tcPr>
            <w:tcW w:w="914" w:type="dxa"/>
          </w:tcPr>
          <w:p>
            <w:pPr>
              <w:pStyle w:val="TableParagraph"/>
              <w:ind w:right="41"/>
              <w:rPr>
                <w:sz w:val="20"/>
              </w:rPr>
            </w:pPr>
            <w:r>
              <w:rPr>
                <w:color w:val="000009"/>
                <w:sz w:val="20"/>
              </w:rPr>
              <w:t>5.03%</w:t>
            </w:r>
          </w:p>
        </w:tc>
        <w:tc>
          <w:tcPr>
            <w:tcW w:w="914" w:type="dxa"/>
          </w:tcPr>
          <w:p>
            <w:pPr>
              <w:pStyle w:val="TableParagraph"/>
              <w:ind w:right="41"/>
              <w:rPr>
                <w:sz w:val="20"/>
              </w:rPr>
            </w:pPr>
            <w:r>
              <w:rPr>
                <w:color w:val="000009"/>
                <w:sz w:val="20"/>
              </w:rPr>
              <w:t>9.01%</w:t>
            </w:r>
          </w:p>
        </w:tc>
        <w:tc>
          <w:tcPr>
            <w:tcW w:w="914" w:type="dxa"/>
          </w:tcPr>
          <w:p>
            <w:pPr>
              <w:pStyle w:val="TableParagraph"/>
              <w:ind w:right="41"/>
              <w:rPr>
                <w:sz w:val="20"/>
              </w:rPr>
            </w:pPr>
            <w:r>
              <w:rPr>
                <w:color w:val="000009"/>
                <w:sz w:val="20"/>
              </w:rPr>
              <w:t>3.08%</w:t>
            </w:r>
          </w:p>
        </w:tc>
        <w:tc>
          <w:tcPr>
            <w:tcW w:w="912" w:type="dxa"/>
          </w:tcPr>
          <w:p>
            <w:pPr>
              <w:pStyle w:val="TableParagraph"/>
              <w:rPr>
                <w:sz w:val="20"/>
              </w:rPr>
            </w:pPr>
            <w:r>
              <w:rPr>
                <w:color w:val="000009"/>
                <w:sz w:val="20"/>
              </w:rPr>
              <w:t>8.68%</w:t>
            </w:r>
          </w:p>
        </w:tc>
        <w:tc>
          <w:tcPr>
            <w:tcW w:w="916" w:type="dxa"/>
          </w:tcPr>
          <w:p>
            <w:pPr>
              <w:pStyle w:val="TableParagraph"/>
              <w:ind w:right="41"/>
              <w:rPr>
                <w:sz w:val="20"/>
              </w:rPr>
            </w:pPr>
            <w:r>
              <w:rPr>
                <w:color w:val="000009"/>
                <w:sz w:val="20"/>
              </w:rPr>
              <w:t>2.78%</w:t>
            </w:r>
          </w:p>
        </w:tc>
      </w:tr>
      <w:tr>
        <w:trPr>
          <w:trHeight w:val="341" w:hRule="atLeast"/>
        </w:trPr>
        <w:tc>
          <w:tcPr>
            <w:tcW w:w="914" w:type="dxa"/>
          </w:tcPr>
          <w:p>
            <w:pPr>
              <w:pStyle w:val="TableParagraph"/>
              <w:ind w:left="57" w:right="0"/>
              <w:jc w:val="left"/>
              <w:rPr>
                <w:sz w:val="20"/>
              </w:rPr>
            </w:pPr>
            <w:r>
              <w:rPr>
                <w:color w:val="000009"/>
                <w:sz w:val="20"/>
              </w:rPr>
              <w:t>MMM</w:t>
            </w:r>
          </w:p>
        </w:tc>
        <w:tc>
          <w:tcPr>
            <w:tcW w:w="914" w:type="dxa"/>
          </w:tcPr>
          <w:p>
            <w:pPr>
              <w:pStyle w:val="TableParagraph"/>
              <w:ind w:right="41"/>
              <w:rPr>
                <w:sz w:val="20"/>
              </w:rPr>
            </w:pPr>
            <w:r>
              <w:rPr>
                <w:color w:val="000009"/>
                <w:sz w:val="20"/>
              </w:rPr>
              <w:t>8.28%</w:t>
            </w:r>
          </w:p>
        </w:tc>
        <w:tc>
          <w:tcPr>
            <w:tcW w:w="912" w:type="dxa"/>
          </w:tcPr>
          <w:p>
            <w:pPr>
              <w:pStyle w:val="TableParagraph"/>
              <w:rPr>
                <w:sz w:val="20"/>
              </w:rPr>
            </w:pPr>
            <w:r>
              <w:rPr>
                <w:color w:val="000009"/>
                <w:sz w:val="20"/>
              </w:rPr>
              <w:t>6.94%</w:t>
            </w:r>
          </w:p>
        </w:tc>
        <w:tc>
          <w:tcPr>
            <w:tcW w:w="914" w:type="dxa"/>
          </w:tcPr>
          <w:p>
            <w:pPr>
              <w:pStyle w:val="TableParagraph"/>
              <w:ind w:left="345" w:right="0"/>
              <w:jc w:val="left"/>
              <w:rPr>
                <w:sz w:val="20"/>
              </w:rPr>
            </w:pPr>
            <w:r>
              <w:rPr>
                <w:color w:val="000009"/>
                <w:sz w:val="20"/>
              </w:rPr>
              <w:t>8.28%</w:t>
            </w:r>
          </w:p>
        </w:tc>
        <w:tc>
          <w:tcPr>
            <w:tcW w:w="914" w:type="dxa"/>
          </w:tcPr>
          <w:p>
            <w:pPr>
              <w:pStyle w:val="TableParagraph"/>
              <w:ind w:right="41"/>
              <w:rPr>
                <w:sz w:val="20"/>
              </w:rPr>
            </w:pPr>
            <w:r>
              <w:rPr>
                <w:color w:val="000009"/>
                <w:sz w:val="20"/>
              </w:rPr>
              <w:t>9.30%</w:t>
            </w:r>
          </w:p>
        </w:tc>
        <w:tc>
          <w:tcPr>
            <w:tcW w:w="914" w:type="dxa"/>
          </w:tcPr>
          <w:p>
            <w:pPr>
              <w:pStyle w:val="TableParagraph"/>
              <w:ind w:right="41"/>
              <w:rPr>
                <w:sz w:val="20"/>
              </w:rPr>
            </w:pPr>
            <w:r>
              <w:rPr>
                <w:color w:val="000009"/>
                <w:sz w:val="20"/>
              </w:rPr>
              <w:t>14.51%</w:t>
            </w:r>
          </w:p>
        </w:tc>
        <w:tc>
          <w:tcPr>
            <w:tcW w:w="914" w:type="dxa"/>
          </w:tcPr>
          <w:p>
            <w:pPr>
              <w:pStyle w:val="TableParagraph"/>
              <w:ind w:right="41"/>
              <w:rPr>
                <w:sz w:val="20"/>
              </w:rPr>
            </w:pPr>
            <w:r>
              <w:rPr>
                <w:color w:val="000009"/>
                <w:sz w:val="20"/>
              </w:rPr>
              <w:t>13.90%</w:t>
            </w:r>
          </w:p>
        </w:tc>
        <w:tc>
          <w:tcPr>
            <w:tcW w:w="912" w:type="dxa"/>
          </w:tcPr>
          <w:p>
            <w:pPr>
              <w:pStyle w:val="TableParagraph"/>
              <w:rPr>
                <w:sz w:val="20"/>
              </w:rPr>
            </w:pPr>
            <w:r>
              <w:rPr>
                <w:color w:val="000009"/>
                <w:sz w:val="20"/>
              </w:rPr>
              <w:t>14.65%</w:t>
            </w:r>
          </w:p>
        </w:tc>
        <w:tc>
          <w:tcPr>
            <w:tcW w:w="916" w:type="dxa"/>
          </w:tcPr>
          <w:p>
            <w:pPr>
              <w:pStyle w:val="TableParagraph"/>
              <w:ind w:right="41"/>
              <w:rPr>
                <w:sz w:val="20"/>
              </w:rPr>
            </w:pPr>
            <w:r>
              <w:rPr>
                <w:color w:val="000009"/>
                <w:sz w:val="20"/>
              </w:rPr>
              <w:t>16.56%</w:t>
            </w:r>
          </w:p>
        </w:tc>
      </w:tr>
      <w:tr>
        <w:trPr>
          <w:trHeight w:val="340" w:hRule="atLeast"/>
        </w:trPr>
        <w:tc>
          <w:tcPr>
            <w:tcW w:w="914" w:type="dxa"/>
          </w:tcPr>
          <w:p>
            <w:pPr>
              <w:pStyle w:val="TableParagraph"/>
              <w:ind w:left="57" w:right="0"/>
              <w:jc w:val="left"/>
              <w:rPr>
                <w:sz w:val="20"/>
              </w:rPr>
            </w:pPr>
            <w:r>
              <w:rPr>
                <w:color w:val="000009"/>
                <w:sz w:val="20"/>
              </w:rPr>
              <w:t>MRK</w:t>
            </w:r>
          </w:p>
        </w:tc>
        <w:tc>
          <w:tcPr>
            <w:tcW w:w="914" w:type="dxa"/>
          </w:tcPr>
          <w:p>
            <w:pPr>
              <w:pStyle w:val="TableParagraph"/>
              <w:ind w:right="41"/>
              <w:rPr>
                <w:sz w:val="20"/>
              </w:rPr>
            </w:pPr>
            <w:r>
              <w:rPr>
                <w:color w:val="000009"/>
                <w:sz w:val="20"/>
              </w:rPr>
              <w:t>3.68%</w:t>
            </w:r>
          </w:p>
        </w:tc>
        <w:tc>
          <w:tcPr>
            <w:tcW w:w="912" w:type="dxa"/>
          </w:tcPr>
          <w:p>
            <w:pPr>
              <w:pStyle w:val="TableParagraph"/>
              <w:rPr>
                <w:sz w:val="20"/>
              </w:rPr>
            </w:pPr>
            <w:r>
              <w:rPr>
                <w:color w:val="000009"/>
                <w:sz w:val="20"/>
              </w:rPr>
              <w:t>-1.48%</w:t>
            </w:r>
          </w:p>
        </w:tc>
        <w:tc>
          <w:tcPr>
            <w:tcW w:w="914" w:type="dxa"/>
          </w:tcPr>
          <w:p>
            <w:pPr>
              <w:pStyle w:val="TableParagraph"/>
              <w:ind w:left="345" w:right="0"/>
              <w:jc w:val="left"/>
              <w:rPr>
                <w:sz w:val="20"/>
              </w:rPr>
            </w:pPr>
            <w:r>
              <w:rPr>
                <w:color w:val="000009"/>
                <w:sz w:val="20"/>
              </w:rPr>
              <w:t>4.97%</w:t>
            </w:r>
          </w:p>
        </w:tc>
        <w:tc>
          <w:tcPr>
            <w:tcW w:w="914" w:type="dxa"/>
          </w:tcPr>
          <w:p>
            <w:pPr>
              <w:pStyle w:val="TableParagraph"/>
              <w:ind w:right="41"/>
              <w:rPr>
                <w:sz w:val="20"/>
              </w:rPr>
            </w:pPr>
            <w:r>
              <w:rPr>
                <w:color w:val="000009"/>
                <w:sz w:val="20"/>
              </w:rPr>
              <w:t>0.30%</w:t>
            </w:r>
          </w:p>
        </w:tc>
        <w:tc>
          <w:tcPr>
            <w:tcW w:w="914" w:type="dxa"/>
          </w:tcPr>
          <w:p>
            <w:pPr>
              <w:pStyle w:val="TableParagraph"/>
              <w:ind w:right="41"/>
              <w:rPr>
                <w:sz w:val="20"/>
              </w:rPr>
            </w:pPr>
            <w:r>
              <w:rPr>
                <w:color w:val="000009"/>
                <w:sz w:val="20"/>
              </w:rPr>
              <w:t>10.77%</w:t>
            </w:r>
          </w:p>
        </w:tc>
        <w:tc>
          <w:tcPr>
            <w:tcW w:w="914" w:type="dxa"/>
          </w:tcPr>
          <w:p>
            <w:pPr>
              <w:pStyle w:val="TableParagraph"/>
              <w:ind w:right="41"/>
              <w:rPr>
                <w:sz w:val="20"/>
              </w:rPr>
            </w:pPr>
            <w:r>
              <w:rPr>
                <w:color w:val="000009"/>
                <w:sz w:val="20"/>
              </w:rPr>
              <w:t>9.57%</w:t>
            </w:r>
          </w:p>
        </w:tc>
        <w:tc>
          <w:tcPr>
            <w:tcW w:w="912" w:type="dxa"/>
          </w:tcPr>
          <w:p>
            <w:pPr>
              <w:pStyle w:val="TableParagraph"/>
              <w:rPr>
                <w:sz w:val="20"/>
              </w:rPr>
            </w:pPr>
            <w:r>
              <w:rPr>
                <w:color w:val="000009"/>
                <w:sz w:val="20"/>
              </w:rPr>
              <w:t>13.20%</w:t>
            </w:r>
          </w:p>
        </w:tc>
        <w:tc>
          <w:tcPr>
            <w:tcW w:w="916" w:type="dxa"/>
          </w:tcPr>
          <w:p>
            <w:pPr>
              <w:pStyle w:val="TableParagraph"/>
              <w:ind w:right="41"/>
              <w:rPr>
                <w:sz w:val="20"/>
              </w:rPr>
            </w:pPr>
            <w:r>
              <w:rPr>
                <w:color w:val="000009"/>
                <w:sz w:val="20"/>
              </w:rPr>
              <w:t>14.24%</w:t>
            </w:r>
          </w:p>
        </w:tc>
      </w:tr>
      <w:tr>
        <w:trPr>
          <w:trHeight w:val="342" w:hRule="atLeast"/>
        </w:trPr>
        <w:tc>
          <w:tcPr>
            <w:tcW w:w="914" w:type="dxa"/>
          </w:tcPr>
          <w:p>
            <w:pPr>
              <w:pStyle w:val="TableParagraph"/>
              <w:ind w:left="57" w:right="0"/>
              <w:jc w:val="left"/>
              <w:rPr>
                <w:sz w:val="20"/>
              </w:rPr>
            </w:pPr>
            <w:r>
              <w:rPr>
                <w:color w:val="000009"/>
                <w:sz w:val="20"/>
              </w:rPr>
              <w:t>MSFT</w:t>
            </w:r>
          </w:p>
        </w:tc>
        <w:tc>
          <w:tcPr>
            <w:tcW w:w="914" w:type="dxa"/>
          </w:tcPr>
          <w:p>
            <w:pPr>
              <w:pStyle w:val="TableParagraph"/>
              <w:ind w:right="41"/>
              <w:rPr>
                <w:sz w:val="20"/>
              </w:rPr>
            </w:pPr>
            <w:r>
              <w:rPr>
                <w:color w:val="000009"/>
                <w:sz w:val="20"/>
              </w:rPr>
              <w:t>1.65%</w:t>
            </w:r>
          </w:p>
        </w:tc>
        <w:tc>
          <w:tcPr>
            <w:tcW w:w="912" w:type="dxa"/>
          </w:tcPr>
          <w:p>
            <w:pPr>
              <w:pStyle w:val="TableParagraph"/>
              <w:rPr>
                <w:sz w:val="20"/>
              </w:rPr>
            </w:pPr>
            <w:r>
              <w:rPr>
                <w:color w:val="000009"/>
                <w:sz w:val="20"/>
              </w:rPr>
              <w:t>8.81%</w:t>
            </w:r>
          </w:p>
        </w:tc>
        <w:tc>
          <w:tcPr>
            <w:tcW w:w="914" w:type="dxa"/>
          </w:tcPr>
          <w:p>
            <w:pPr>
              <w:pStyle w:val="TableParagraph"/>
              <w:ind w:left="345" w:right="0"/>
              <w:jc w:val="left"/>
              <w:rPr>
                <w:sz w:val="20"/>
              </w:rPr>
            </w:pPr>
            <w:r>
              <w:rPr>
                <w:color w:val="000009"/>
                <w:sz w:val="20"/>
              </w:rPr>
              <w:t>1.65%</w:t>
            </w:r>
          </w:p>
        </w:tc>
        <w:tc>
          <w:tcPr>
            <w:tcW w:w="914" w:type="dxa"/>
          </w:tcPr>
          <w:p>
            <w:pPr>
              <w:pStyle w:val="TableParagraph"/>
              <w:ind w:right="41"/>
              <w:rPr>
                <w:sz w:val="20"/>
              </w:rPr>
            </w:pPr>
            <w:r>
              <w:rPr>
                <w:color w:val="000009"/>
                <w:sz w:val="20"/>
              </w:rPr>
              <w:t>7.23%</w:t>
            </w:r>
          </w:p>
        </w:tc>
        <w:tc>
          <w:tcPr>
            <w:tcW w:w="914" w:type="dxa"/>
          </w:tcPr>
          <w:p>
            <w:pPr>
              <w:pStyle w:val="TableParagraph"/>
              <w:ind w:right="41"/>
              <w:rPr>
                <w:sz w:val="20"/>
              </w:rPr>
            </w:pPr>
            <w:r>
              <w:rPr>
                <w:color w:val="000009"/>
                <w:sz w:val="20"/>
              </w:rPr>
              <w:t>1.53%</w:t>
            </w:r>
          </w:p>
        </w:tc>
        <w:tc>
          <w:tcPr>
            <w:tcW w:w="914" w:type="dxa"/>
          </w:tcPr>
          <w:p>
            <w:pPr>
              <w:pStyle w:val="TableParagraph"/>
              <w:ind w:right="41"/>
              <w:rPr>
                <w:sz w:val="20"/>
              </w:rPr>
            </w:pPr>
            <w:r>
              <w:rPr>
                <w:color w:val="000009"/>
                <w:sz w:val="20"/>
              </w:rPr>
              <w:t>1.90%</w:t>
            </w:r>
          </w:p>
        </w:tc>
        <w:tc>
          <w:tcPr>
            <w:tcW w:w="912" w:type="dxa"/>
          </w:tcPr>
          <w:p>
            <w:pPr>
              <w:pStyle w:val="TableParagraph"/>
              <w:rPr>
                <w:sz w:val="20"/>
              </w:rPr>
            </w:pPr>
            <w:r>
              <w:rPr>
                <w:color w:val="000009"/>
                <w:sz w:val="20"/>
              </w:rPr>
              <w:t>0.38%</w:t>
            </w:r>
          </w:p>
        </w:tc>
        <w:tc>
          <w:tcPr>
            <w:tcW w:w="916" w:type="dxa"/>
          </w:tcPr>
          <w:p>
            <w:pPr>
              <w:pStyle w:val="TableParagraph"/>
              <w:rPr>
                <w:sz w:val="20"/>
              </w:rPr>
            </w:pPr>
            <w:r>
              <w:rPr>
                <w:color w:val="000009"/>
                <w:sz w:val="20"/>
              </w:rPr>
              <w:t>-0.93%</w:t>
            </w:r>
          </w:p>
        </w:tc>
      </w:tr>
      <w:tr>
        <w:trPr>
          <w:trHeight w:val="340" w:hRule="atLeast"/>
        </w:trPr>
        <w:tc>
          <w:tcPr>
            <w:tcW w:w="914" w:type="dxa"/>
          </w:tcPr>
          <w:p>
            <w:pPr>
              <w:pStyle w:val="TableParagraph"/>
              <w:ind w:left="57" w:right="0"/>
              <w:jc w:val="left"/>
              <w:rPr>
                <w:sz w:val="20"/>
              </w:rPr>
            </w:pPr>
            <w:r>
              <w:rPr>
                <w:color w:val="000009"/>
                <w:sz w:val="20"/>
              </w:rPr>
              <w:t>PFE</w:t>
            </w:r>
          </w:p>
        </w:tc>
        <w:tc>
          <w:tcPr>
            <w:tcW w:w="914" w:type="dxa"/>
          </w:tcPr>
          <w:p>
            <w:pPr>
              <w:pStyle w:val="TableParagraph"/>
              <w:ind w:right="41"/>
              <w:rPr>
                <w:sz w:val="20"/>
              </w:rPr>
            </w:pPr>
            <w:r>
              <w:rPr>
                <w:color w:val="000009"/>
                <w:sz w:val="20"/>
              </w:rPr>
              <w:t>6.36%</w:t>
            </w:r>
          </w:p>
        </w:tc>
        <w:tc>
          <w:tcPr>
            <w:tcW w:w="912" w:type="dxa"/>
          </w:tcPr>
          <w:p>
            <w:pPr>
              <w:pStyle w:val="TableParagraph"/>
              <w:rPr>
                <w:sz w:val="20"/>
              </w:rPr>
            </w:pPr>
            <w:r>
              <w:rPr>
                <w:color w:val="000009"/>
                <w:sz w:val="20"/>
              </w:rPr>
              <w:t>5.80%</w:t>
            </w:r>
          </w:p>
        </w:tc>
        <w:tc>
          <w:tcPr>
            <w:tcW w:w="914" w:type="dxa"/>
          </w:tcPr>
          <w:p>
            <w:pPr>
              <w:pStyle w:val="TableParagraph"/>
              <w:ind w:left="345" w:right="0"/>
              <w:jc w:val="left"/>
              <w:rPr>
                <w:sz w:val="20"/>
              </w:rPr>
            </w:pPr>
            <w:r>
              <w:rPr>
                <w:color w:val="000009"/>
                <w:sz w:val="20"/>
              </w:rPr>
              <w:t>6.36%</w:t>
            </w:r>
          </w:p>
        </w:tc>
        <w:tc>
          <w:tcPr>
            <w:tcW w:w="914" w:type="dxa"/>
          </w:tcPr>
          <w:p>
            <w:pPr>
              <w:pStyle w:val="TableParagraph"/>
              <w:ind w:right="41"/>
              <w:rPr>
                <w:sz w:val="20"/>
              </w:rPr>
            </w:pPr>
            <w:r>
              <w:rPr>
                <w:color w:val="000009"/>
                <w:sz w:val="20"/>
              </w:rPr>
              <w:t>4.50%</w:t>
            </w:r>
          </w:p>
        </w:tc>
        <w:tc>
          <w:tcPr>
            <w:tcW w:w="914" w:type="dxa"/>
          </w:tcPr>
          <w:p>
            <w:pPr>
              <w:pStyle w:val="TableParagraph"/>
              <w:ind w:right="41"/>
              <w:rPr>
                <w:sz w:val="20"/>
              </w:rPr>
            </w:pPr>
            <w:r>
              <w:rPr>
                <w:color w:val="000009"/>
                <w:sz w:val="20"/>
              </w:rPr>
              <w:t>22.68%</w:t>
            </w:r>
          </w:p>
        </w:tc>
        <w:tc>
          <w:tcPr>
            <w:tcW w:w="914" w:type="dxa"/>
          </w:tcPr>
          <w:p>
            <w:pPr>
              <w:pStyle w:val="TableParagraph"/>
              <w:ind w:right="41"/>
              <w:rPr>
                <w:sz w:val="20"/>
              </w:rPr>
            </w:pPr>
            <w:r>
              <w:rPr>
                <w:color w:val="000009"/>
                <w:sz w:val="20"/>
              </w:rPr>
              <w:t>20.75%</w:t>
            </w:r>
          </w:p>
        </w:tc>
        <w:tc>
          <w:tcPr>
            <w:tcW w:w="912" w:type="dxa"/>
          </w:tcPr>
          <w:p>
            <w:pPr>
              <w:pStyle w:val="TableParagraph"/>
              <w:rPr>
                <w:sz w:val="20"/>
              </w:rPr>
            </w:pPr>
            <w:r>
              <w:rPr>
                <w:color w:val="000009"/>
                <w:sz w:val="20"/>
              </w:rPr>
              <w:t>20.58%</w:t>
            </w:r>
          </w:p>
        </w:tc>
        <w:tc>
          <w:tcPr>
            <w:tcW w:w="916" w:type="dxa"/>
          </w:tcPr>
          <w:p>
            <w:pPr>
              <w:pStyle w:val="TableParagraph"/>
              <w:ind w:right="41"/>
              <w:rPr>
                <w:sz w:val="20"/>
              </w:rPr>
            </w:pPr>
            <w:r>
              <w:rPr>
                <w:color w:val="000009"/>
                <w:sz w:val="20"/>
              </w:rPr>
              <w:t>17.22%</w:t>
            </w:r>
          </w:p>
        </w:tc>
      </w:tr>
      <w:tr>
        <w:trPr>
          <w:trHeight w:val="342" w:hRule="atLeast"/>
        </w:trPr>
        <w:tc>
          <w:tcPr>
            <w:tcW w:w="914" w:type="dxa"/>
          </w:tcPr>
          <w:p>
            <w:pPr>
              <w:pStyle w:val="TableParagraph"/>
              <w:ind w:left="57" w:right="0"/>
              <w:jc w:val="left"/>
              <w:rPr>
                <w:sz w:val="20"/>
              </w:rPr>
            </w:pPr>
            <w:r>
              <w:rPr>
                <w:color w:val="000009"/>
                <w:sz w:val="20"/>
              </w:rPr>
              <w:t>PG</w:t>
            </w:r>
          </w:p>
        </w:tc>
        <w:tc>
          <w:tcPr>
            <w:tcW w:w="914" w:type="dxa"/>
          </w:tcPr>
          <w:p>
            <w:pPr>
              <w:pStyle w:val="TableParagraph"/>
              <w:rPr>
                <w:sz w:val="20"/>
              </w:rPr>
            </w:pPr>
            <w:r>
              <w:rPr>
                <w:color w:val="000009"/>
                <w:sz w:val="20"/>
              </w:rPr>
              <w:t>-5.75%</w:t>
            </w:r>
          </w:p>
        </w:tc>
        <w:tc>
          <w:tcPr>
            <w:tcW w:w="912" w:type="dxa"/>
          </w:tcPr>
          <w:p>
            <w:pPr>
              <w:pStyle w:val="TableParagraph"/>
              <w:rPr>
                <w:sz w:val="20"/>
              </w:rPr>
            </w:pPr>
            <w:r>
              <w:rPr>
                <w:color w:val="000009"/>
                <w:sz w:val="20"/>
              </w:rPr>
              <w:t>-7.79%</w:t>
            </w:r>
          </w:p>
        </w:tc>
        <w:tc>
          <w:tcPr>
            <w:tcW w:w="914" w:type="dxa"/>
          </w:tcPr>
          <w:p>
            <w:pPr>
              <w:pStyle w:val="TableParagraph"/>
              <w:ind w:left="279" w:right="0"/>
              <w:jc w:val="left"/>
              <w:rPr>
                <w:sz w:val="20"/>
              </w:rPr>
            </w:pPr>
            <w:r>
              <w:rPr>
                <w:color w:val="000009"/>
                <w:sz w:val="20"/>
              </w:rPr>
              <w:t>-5.75%</w:t>
            </w:r>
          </w:p>
        </w:tc>
        <w:tc>
          <w:tcPr>
            <w:tcW w:w="914" w:type="dxa"/>
          </w:tcPr>
          <w:p>
            <w:pPr>
              <w:pStyle w:val="TableParagraph"/>
              <w:rPr>
                <w:sz w:val="20"/>
              </w:rPr>
            </w:pPr>
            <w:r>
              <w:rPr>
                <w:color w:val="000009"/>
                <w:sz w:val="20"/>
              </w:rPr>
              <w:t>-7.79%</w:t>
            </w:r>
          </w:p>
        </w:tc>
        <w:tc>
          <w:tcPr>
            <w:tcW w:w="914" w:type="dxa"/>
          </w:tcPr>
          <w:p>
            <w:pPr>
              <w:pStyle w:val="TableParagraph"/>
              <w:rPr>
                <w:sz w:val="20"/>
              </w:rPr>
            </w:pPr>
            <w:r>
              <w:rPr>
                <w:color w:val="000009"/>
                <w:sz w:val="20"/>
              </w:rPr>
              <w:t>-14.51%</w:t>
            </w:r>
          </w:p>
        </w:tc>
        <w:tc>
          <w:tcPr>
            <w:tcW w:w="914" w:type="dxa"/>
          </w:tcPr>
          <w:p>
            <w:pPr>
              <w:pStyle w:val="TableParagraph"/>
              <w:rPr>
                <w:sz w:val="20"/>
              </w:rPr>
            </w:pPr>
            <w:r>
              <w:rPr>
                <w:color w:val="000009"/>
                <w:sz w:val="20"/>
              </w:rPr>
              <w:t>-14.89%</w:t>
            </w:r>
          </w:p>
        </w:tc>
        <w:tc>
          <w:tcPr>
            <w:tcW w:w="912" w:type="dxa"/>
          </w:tcPr>
          <w:p>
            <w:pPr>
              <w:pStyle w:val="TableParagraph"/>
              <w:rPr>
                <w:sz w:val="20"/>
              </w:rPr>
            </w:pPr>
            <w:r>
              <w:rPr>
                <w:color w:val="000009"/>
                <w:sz w:val="20"/>
              </w:rPr>
              <w:t>-14.07%</w:t>
            </w:r>
          </w:p>
        </w:tc>
        <w:tc>
          <w:tcPr>
            <w:tcW w:w="916" w:type="dxa"/>
          </w:tcPr>
          <w:p>
            <w:pPr>
              <w:pStyle w:val="TableParagraph"/>
              <w:rPr>
                <w:sz w:val="20"/>
              </w:rPr>
            </w:pPr>
            <w:r>
              <w:rPr>
                <w:color w:val="000009"/>
                <w:sz w:val="20"/>
              </w:rPr>
              <w:t>-14.45%</w:t>
            </w:r>
          </w:p>
        </w:tc>
      </w:tr>
      <w:tr>
        <w:trPr>
          <w:trHeight w:val="340" w:hRule="atLeast"/>
        </w:trPr>
        <w:tc>
          <w:tcPr>
            <w:tcW w:w="914" w:type="dxa"/>
          </w:tcPr>
          <w:p>
            <w:pPr>
              <w:pStyle w:val="TableParagraph"/>
              <w:ind w:left="57" w:right="0"/>
              <w:jc w:val="left"/>
              <w:rPr>
                <w:sz w:val="20"/>
              </w:rPr>
            </w:pPr>
            <w:r>
              <w:rPr>
                <w:color w:val="000009"/>
                <w:sz w:val="20"/>
              </w:rPr>
              <w:t>TRV</w:t>
            </w:r>
          </w:p>
        </w:tc>
        <w:tc>
          <w:tcPr>
            <w:tcW w:w="914" w:type="dxa"/>
          </w:tcPr>
          <w:p>
            <w:pPr>
              <w:pStyle w:val="TableParagraph"/>
              <w:ind w:right="41"/>
              <w:rPr>
                <w:sz w:val="20"/>
              </w:rPr>
            </w:pPr>
            <w:r>
              <w:rPr>
                <w:color w:val="000009"/>
                <w:sz w:val="20"/>
              </w:rPr>
              <w:t>9.28%</w:t>
            </w:r>
          </w:p>
        </w:tc>
        <w:tc>
          <w:tcPr>
            <w:tcW w:w="912" w:type="dxa"/>
          </w:tcPr>
          <w:p>
            <w:pPr>
              <w:pStyle w:val="TableParagraph"/>
              <w:rPr>
                <w:sz w:val="20"/>
              </w:rPr>
            </w:pPr>
            <w:r>
              <w:rPr>
                <w:color w:val="000009"/>
                <w:sz w:val="20"/>
              </w:rPr>
              <w:t>8.81%</w:t>
            </w:r>
          </w:p>
        </w:tc>
        <w:tc>
          <w:tcPr>
            <w:tcW w:w="914" w:type="dxa"/>
          </w:tcPr>
          <w:p>
            <w:pPr>
              <w:pStyle w:val="TableParagraph"/>
              <w:ind w:left="345" w:right="0"/>
              <w:jc w:val="left"/>
              <w:rPr>
                <w:sz w:val="20"/>
              </w:rPr>
            </w:pPr>
            <w:r>
              <w:rPr>
                <w:color w:val="000009"/>
                <w:sz w:val="20"/>
              </w:rPr>
              <w:t>9.28%</w:t>
            </w:r>
          </w:p>
        </w:tc>
        <w:tc>
          <w:tcPr>
            <w:tcW w:w="914" w:type="dxa"/>
          </w:tcPr>
          <w:p>
            <w:pPr>
              <w:pStyle w:val="TableParagraph"/>
              <w:ind w:right="41"/>
              <w:rPr>
                <w:sz w:val="20"/>
              </w:rPr>
            </w:pPr>
            <w:r>
              <w:rPr>
                <w:color w:val="000009"/>
                <w:sz w:val="20"/>
              </w:rPr>
              <w:t>7.80%</w:t>
            </w:r>
          </w:p>
        </w:tc>
        <w:tc>
          <w:tcPr>
            <w:tcW w:w="914" w:type="dxa"/>
          </w:tcPr>
          <w:p>
            <w:pPr>
              <w:pStyle w:val="TableParagraph"/>
              <w:ind w:right="41"/>
              <w:rPr>
                <w:sz w:val="20"/>
              </w:rPr>
            </w:pPr>
            <w:r>
              <w:rPr>
                <w:color w:val="000009"/>
                <w:sz w:val="20"/>
              </w:rPr>
              <w:t>15.88%</w:t>
            </w:r>
          </w:p>
        </w:tc>
        <w:tc>
          <w:tcPr>
            <w:tcW w:w="914" w:type="dxa"/>
          </w:tcPr>
          <w:p>
            <w:pPr>
              <w:pStyle w:val="TableParagraph"/>
              <w:ind w:right="41"/>
              <w:rPr>
                <w:sz w:val="20"/>
              </w:rPr>
            </w:pPr>
            <w:r>
              <w:rPr>
                <w:color w:val="000009"/>
                <w:sz w:val="20"/>
              </w:rPr>
              <w:t>30.92%</w:t>
            </w:r>
          </w:p>
        </w:tc>
        <w:tc>
          <w:tcPr>
            <w:tcW w:w="912" w:type="dxa"/>
          </w:tcPr>
          <w:p>
            <w:pPr>
              <w:pStyle w:val="TableParagraph"/>
              <w:rPr>
                <w:sz w:val="20"/>
              </w:rPr>
            </w:pPr>
            <w:r>
              <w:rPr>
                <w:color w:val="000009"/>
                <w:sz w:val="20"/>
              </w:rPr>
              <w:t>15.58%</w:t>
            </w:r>
          </w:p>
        </w:tc>
        <w:tc>
          <w:tcPr>
            <w:tcW w:w="916" w:type="dxa"/>
          </w:tcPr>
          <w:p>
            <w:pPr>
              <w:pStyle w:val="TableParagraph"/>
              <w:ind w:right="41"/>
              <w:rPr>
                <w:sz w:val="20"/>
              </w:rPr>
            </w:pPr>
            <w:r>
              <w:rPr>
                <w:color w:val="000009"/>
                <w:sz w:val="20"/>
              </w:rPr>
              <w:t>25.50%</w:t>
            </w:r>
          </w:p>
        </w:tc>
      </w:tr>
      <w:tr>
        <w:trPr>
          <w:trHeight w:val="341" w:hRule="atLeast"/>
        </w:trPr>
        <w:tc>
          <w:tcPr>
            <w:tcW w:w="914" w:type="dxa"/>
          </w:tcPr>
          <w:p>
            <w:pPr>
              <w:pStyle w:val="TableParagraph"/>
              <w:ind w:left="57" w:right="0"/>
              <w:jc w:val="left"/>
              <w:rPr>
                <w:sz w:val="20"/>
              </w:rPr>
            </w:pPr>
            <w:r>
              <w:rPr>
                <w:color w:val="000009"/>
                <w:sz w:val="20"/>
              </w:rPr>
              <w:t>UNH</w:t>
            </w:r>
          </w:p>
        </w:tc>
        <w:tc>
          <w:tcPr>
            <w:tcW w:w="914" w:type="dxa"/>
          </w:tcPr>
          <w:p>
            <w:pPr>
              <w:pStyle w:val="TableParagraph"/>
              <w:rPr>
                <w:sz w:val="20"/>
              </w:rPr>
            </w:pPr>
            <w:r>
              <w:rPr>
                <w:color w:val="000009"/>
                <w:sz w:val="20"/>
              </w:rPr>
              <w:t>-9.27%</w:t>
            </w:r>
          </w:p>
        </w:tc>
        <w:tc>
          <w:tcPr>
            <w:tcW w:w="912" w:type="dxa"/>
          </w:tcPr>
          <w:p>
            <w:pPr>
              <w:pStyle w:val="TableParagraph"/>
              <w:rPr>
                <w:sz w:val="20"/>
              </w:rPr>
            </w:pPr>
            <w:r>
              <w:rPr>
                <w:color w:val="000009"/>
                <w:sz w:val="20"/>
              </w:rPr>
              <w:t>-4.42%</w:t>
            </w:r>
          </w:p>
        </w:tc>
        <w:tc>
          <w:tcPr>
            <w:tcW w:w="914" w:type="dxa"/>
          </w:tcPr>
          <w:p>
            <w:pPr>
              <w:pStyle w:val="TableParagraph"/>
              <w:ind w:left="279" w:right="0"/>
              <w:jc w:val="left"/>
              <w:rPr>
                <w:sz w:val="20"/>
              </w:rPr>
            </w:pPr>
            <w:r>
              <w:rPr>
                <w:color w:val="000009"/>
                <w:sz w:val="20"/>
              </w:rPr>
              <w:t>-9.27%</w:t>
            </w:r>
          </w:p>
        </w:tc>
        <w:tc>
          <w:tcPr>
            <w:tcW w:w="914" w:type="dxa"/>
          </w:tcPr>
          <w:p>
            <w:pPr>
              <w:pStyle w:val="TableParagraph"/>
              <w:rPr>
                <w:sz w:val="20"/>
              </w:rPr>
            </w:pPr>
            <w:r>
              <w:rPr>
                <w:color w:val="000009"/>
                <w:sz w:val="20"/>
              </w:rPr>
              <w:t>-4.63%</w:t>
            </w:r>
          </w:p>
        </w:tc>
        <w:tc>
          <w:tcPr>
            <w:tcW w:w="914" w:type="dxa"/>
          </w:tcPr>
          <w:p>
            <w:pPr>
              <w:pStyle w:val="TableParagraph"/>
              <w:rPr>
                <w:sz w:val="20"/>
              </w:rPr>
            </w:pPr>
            <w:r>
              <w:rPr>
                <w:color w:val="000009"/>
                <w:sz w:val="20"/>
              </w:rPr>
              <w:t>-23.23%</w:t>
            </w:r>
          </w:p>
        </w:tc>
        <w:tc>
          <w:tcPr>
            <w:tcW w:w="914" w:type="dxa"/>
          </w:tcPr>
          <w:p>
            <w:pPr>
              <w:pStyle w:val="TableParagraph"/>
              <w:rPr>
                <w:sz w:val="20"/>
              </w:rPr>
            </w:pPr>
            <w:r>
              <w:rPr>
                <w:color w:val="000009"/>
                <w:sz w:val="20"/>
              </w:rPr>
              <w:t>-15.76%</w:t>
            </w:r>
          </w:p>
        </w:tc>
        <w:tc>
          <w:tcPr>
            <w:tcW w:w="912" w:type="dxa"/>
          </w:tcPr>
          <w:p>
            <w:pPr>
              <w:pStyle w:val="TableParagraph"/>
              <w:rPr>
                <w:sz w:val="20"/>
              </w:rPr>
            </w:pPr>
            <w:r>
              <w:rPr>
                <w:color w:val="000009"/>
                <w:sz w:val="20"/>
              </w:rPr>
              <w:t>-22.69%</w:t>
            </w:r>
          </w:p>
        </w:tc>
        <w:tc>
          <w:tcPr>
            <w:tcW w:w="916" w:type="dxa"/>
          </w:tcPr>
          <w:p>
            <w:pPr>
              <w:pStyle w:val="TableParagraph"/>
              <w:rPr>
                <w:sz w:val="20"/>
              </w:rPr>
            </w:pPr>
            <w:r>
              <w:rPr>
                <w:color w:val="000009"/>
                <w:sz w:val="20"/>
              </w:rPr>
              <w:t>-14.16%</w:t>
            </w:r>
          </w:p>
        </w:tc>
      </w:tr>
      <w:tr>
        <w:trPr>
          <w:trHeight w:val="340" w:hRule="atLeast"/>
        </w:trPr>
        <w:tc>
          <w:tcPr>
            <w:tcW w:w="914" w:type="dxa"/>
          </w:tcPr>
          <w:p>
            <w:pPr>
              <w:pStyle w:val="TableParagraph"/>
              <w:ind w:left="57" w:right="0"/>
              <w:jc w:val="left"/>
              <w:rPr>
                <w:sz w:val="20"/>
              </w:rPr>
            </w:pPr>
            <w:r>
              <w:rPr>
                <w:color w:val="000009"/>
                <w:sz w:val="20"/>
              </w:rPr>
              <w:t>UTX</w:t>
            </w:r>
          </w:p>
        </w:tc>
        <w:tc>
          <w:tcPr>
            <w:tcW w:w="914" w:type="dxa"/>
          </w:tcPr>
          <w:p>
            <w:pPr>
              <w:pStyle w:val="TableParagraph"/>
              <w:ind w:right="41"/>
              <w:rPr>
                <w:sz w:val="20"/>
              </w:rPr>
            </w:pPr>
            <w:r>
              <w:rPr>
                <w:color w:val="000009"/>
                <w:sz w:val="20"/>
              </w:rPr>
              <w:t>1.36%</w:t>
            </w:r>
          </w:p>
        </w:tc>
        <w:tc>
          <w:tcPr>
            <w:tcW w:w="912" w:type="dxa"/>
          </w:tcPr>
          <w:p>
            <w:pPr>
              <w:pStyle w:val="TableParagraph"/>
              <w:rPr>
                <w:sz w:val="20"/>
              </w:rPr>
            </w:pPr>
            <w:r>
              <w:rPr>
                <w:color w:val="000009"/>
                <w:sz w:val="20"/>
              </w:rPr>
              <w:t>4.11%</w:t>
            </w:r>
          </w:p>
        </w:tc>
        <w:tc>
          <w:tcPr>
            <w:tcW w:w="914" w:type="dxa"/>
          </w:tcPr>
          <w:p>
            <w:pPr>
              <w:pStyle w:val="TableParagraph"/>
              <w:ind w:left="345" w:right="0"/>
              <w:jc w:val="left"/>
              <w:rPr>
                <w:sz w:val="20"/>
              </w:rPr>
            </w:pPr>
            <w:r>
              <w:rPr>
                <w:color w:val="000009"/>
                <w:sz w:val="20"/>
              </w:rPr>
              <w:t>1.36%</w:t>
            </w:r>
          </w:p>
        </w:tc>
        <w:tc>
          <w:tcPr>
            <w:tcW w:w="914" w:type="dxa"/>
          </w:tcPr>
          <w:p>
            <w:pPr>
              <w:pStyle w:val="TableParagraph"/>
              <w:ind w:right="41"/>
              <w:rPr>
                <w:sz w:val="20"/>
              </w:rPr>
            </w:pPr>
            <w:r>
              <w:rPr>
                <w:color w:val="000009"/>
                <w:sz w:val="20"/>
              </w:rPr>
              <w:t>5.66%</w:t>
            </w:r>
          </w:p>
        </w:tc>
        <w:tc>
          <w:tcPr>
            <w:tcW w:w="914" w:type="dxa"/>
          </w:tcPr>
          <w:p>
            <w:pPr>
              <w:pStyle w:val="TableParagraph"/>
              <w:rPr>
                <w:sz w:val="20"/>
              </w:rPr>
            </w:pPr>
            <w:r>
              <w:rPr>
                <w:color w:val="000009"/>
                <w:sz w:val="20"/>
              </w:rPr>
              <w:t>-1.48%</w:t>
            </w:r>
          </w:p>
        </w:tc>
        <w:tc>
          <w:tcPr>
            <w:tcW w:w="914" w:type="dxa"/>
          </w:tcPr>
          <w:p>
            <w:pPr>
              <w:pStyle w:val="TableParagraph"/>
              <w:ind w:right="41"/>
              <w:rPr>
                <w:sz w:val="20"/>
              </w:rPr>
            </w:pPr>
            <w:r>
              <w:rPr>
                <w:color w:val="000009"/>
                <w:sz w:val="20"/>
              </w:rPr>
              <w:t>1.59%</w:t>
            </w:r>
          </w:p>
        </w:tc>
        <w:tc>
          <w:tcPr>
            <w:tcW w:w="912" w:type="dxa"/>
          </w:tcPr>
          <w:p>
            <w:pPr>
              <w:pStyle w:val="TableParagraph"/>
              <w:rPr>
                <w:sz w:val="20"/>
              </w:rPr>
            </w:pPr>
            <w:r>
              <w:rPr>
                <w:color w:val="000009"/>
                <w:sz w:val="20"/>
              </w:rPr>
              <w:t>-7.14%</w:t>
            </w:r>
          </w:p>
        </w:tc>
        <w:tc>
          <w:tcPr>
            <w:tcW w:w="916" w:type="dxa"/>
          </w:tcPr>
          <w:p>
            <w:pPr>
              <w:pStyle w:val="TableParagraph"/>
              <w:rPr>
                <w:sz w:val="20"/>
              </w:rPr>
            </w:pPr>
            <w:r>
              <w:rPr>
                <w:color w:val="000009"/>
                <w:sz w:val="20"/>
              </w:rPr>
              <w:t>-2.82%</w:t>
            </w:r>
          </w:p>
        </w:tc>
      </w:tr>
      <w:tr>
        <w:trPr>
          <w:trHeight w:val="342" w:hRule="atLeast"/>
        </w:trPr>
        <w:tc>
          <w:tcPr>
            <w:tcW w:w="914" w:type="dxa"/>
          </w:tcPr>
          <w:p>
            <w:pPr>
              <w:pStyle w:val="TableParagraph"/>
              <w:ind w:left="57" w:right="0"/>
              <w:jc w:val="left"/>
              <w:rPr>
                <w:sz w:val="20"/>
              </w:rPr>
            </w:pPr>
            <w:r>
              <w:rPr>
                <w:color w:val="000009"/>
                <w:sz w:val="20"/>
              </w:rPr>
              <w:t>VZ</w:t>
            </w:r>
          </w:p>
        </w:tc>
        <w:tc>
          <w:tcPr>
            <w:tcW w:w="914" w:type="dxa"/>
          </w:tcPr>
          <w:p>
            <w:pPr>
              <w:pStyle w:val="TableParagraph"/>
              <w:ind w:right="41"/>
              <w:rPr>
                <w:sz w:val="20"/>
              </w:rPr>
            </w:pPr>
            <w:r>
              <w:rPr>
                <w:color w:val="000009"/>
                <w:sz w:val="20"/>
              </w:rPr>
              <w:t>5.00%</w:t>
            </w:r>
          </w:p>
        </w:tc>
        <w:tc>
          <w:tcPr>
            <w:tcW w:w="912" w:type="dxa"/>
          </w:tcPr>
          <w:p>
            <w:pPr>
              <w:pStyle w:val="TableParagraph"/>
              <w:rPr>
                <w:sz w:val="20"/>
              </w:rPr>
            </w:pPr>
            <w:r>
              <w:rPr>
                <w:color w:val="000009"/>
                <w:sz w:val="20"/>
              </w:rPr>
              <w:t>3.75%</w:t>
            </w:r>
          </w:p>
        </w:tc>
        <w:tc>
          <w:tcPr>
            <w:tcW w:w="914" w:type="dxa"/>
          </w:tcPr>
          <w:p>
            <w:pPr>
              <w:pStyle w:val="TableParagraph"/>
              <w:ind w:left="345" w:right="0"/>
              <w:jc w:val="left"/>
              <w:rPr>
                <w:sz w:val="20"/>
              </w:rPr>
            </w:pPr>
            <w:r>
              <w:rPr>
                <w:color w:val="000009"/>
                <w:sz w:val="20"/>
              </w:rPr>
              <w:t>3.94%</w:t>
            </w:r>
          </w:p>
        </w:tc>
        <w:tc>
          <w:tcPr>
            <w:tcW w:w="914" w:type="dxa"/>
          </w:tcPr>
          <w:p>
            <w:pPr>
              <w:pStyle w:val="TableParagraph"/>
              <w:ind w:right="41"/>
              <w:rPr>
                <w:sz w:val="20"/>
              </w:rPr>
            </w:pPr>
            <w:r>
              <w:rPr>
                <w:color w:val="000009"/>
                <w:sz w:val="20"/>
              </w:rPr>
              <w:t>0.86%</w:t>
            </w:r>
          </w:p>
        </w:tc>
        <w:tc>
          <w:tcPr>
            <w:tcW w:w="914" w:type="dxa"/>
          </w:tcPr>
          <w:p>
            <w:pPr>
              <w:pStyle w:val="TableParagraph"/>
              <w:ind w:right="41"/>
              <w:rPr>
                <w:sz w:val="20"/>
              </w:rPr>
            </w:pPr>
            <w:r>
              <w:rPr>
                <w:color w:val="000009"/>
                <w:sz w:val="20"/>
              </w:rPr>
              <w:t>9.67%</w:t>
            </w:r>
          </w:p>
        </w:tc>
        <w:tc>
          <w:tcPr>
            <w:tcW w:w="914" w:type="dxa"/>
          </w:tcPr>
          <w:p>
            <w:pPr>
              <w:pStyle w:val="TableParagraph"/>
              <w:ind w:right="41"/>
              <w:rPr>
                <w:sz w:val="20"/>
              </w:rPr>
            </w:pPr>
            <w:r>
              <w:rPr>
                <w:color w:val="000009"/>
                <w:sz w:val="20"/>
              </w:rPr>
              <w:t>3.09%</w:t>
            </w:r>
          </w:p>
        </w:tc>
        <w:tc>
          <w:tcPr>
            <w:tcW w:w="912" w:type="dxa"/>
          </w:tcPr>
          <w:p>
            <w:pPr>
              <w:pStyle w:val="TableParagraph"/>
              <w:rPr>
                <w:sz w:val="20"/>
              </w:rPr>
            </w:pPr>
            <w:r>
              <w:rPr>
                <w:color w:val="000009"/>
                <w:sz w:val="20"/>
              </w:rPr>
              <w:t>5.92%</w:t>
            </w:r>
          </w:p>
        </w:tc>
        <w:tc>
          <w:tcPr>
            <w:tcW w:w="916" w:type="dxa"/>
          </w:tcPr>
          <w:p>
            <w:pPr>
              <w:pStyle w:val="TableParagraph"/>
              <w:rPr>
                <w:sz w:val="20"/>
              </w:rPr>
            </w:pPr>
            <w:r>
              <w:rPr>
                <w:color w:val="000009"/>
                <w:sz w:val="20"/>
              </w:rPr>
              <w:t>-2.81%</w:t>
            </w:r>
          </w:p>
        </w:tc>
      </w:tr>
      <w:tr>
        <w:trPr>
          <w:trHeight w:val="340" w:hRule="atLeast"/>
        </w:trPr>
        <w:tc>
          <w:tcPr>
            <w:tcW w:w="914" w:type="dxa"/>
          </w:tcPr>
          <w:p>
            <w:pPr>
              <w:pStyle w:val="TableParagraph"/>
              <w:ind w:left="57" w:right="0"/>
              <w:jc w:val="left"/>
              <w:rPr>
                <w:sz w:val="20"/>
              </w:rPr>
            </w:pPr>
            <w:r>
              <w:rPr>
                <w:color w:val="000009"/>
                <w:sz w:val="20"/>
              </w:rPr>
              <w:t>WMT</w:t>
            </w:r>
          </w:p>
        </w:tc>
        <w:tc>
          <w:tcPr>
            <w:tcW w:w="914" w:type="dxa"/>
          </w:tcPr>
          <w:p>
            <w:pPr>
              <w:pStyle w:val="TableParagraph"/>
              <w:ind w:right="41"/>
              <w:rPr>
                <w:sz w:val="20"/>
              </w:rPr>
            </w:pPr>
            <w:r>
              <w:rPr>
                <w:color w:val="000009"/>
                <w:sz w:val="20"/>
              </w:rPr>
              <w:t>9.01%</w:t>
            </w:r>
          </w:p>
        </w:tc>
        <w:tc>
          <w:tcPr>
            <w:tcW w:w="912" w:type="dxa"/>
          </w:tcPr>
          <w:p>
            <w:pPr>
              <w:pStyle w:val="TableParagraph"/>
              <w:rPr>
                <w:sz w:val="20"/>
              </w:rPr>
            </w:pPr>
            <w:r>
              <w:rPr>
                <w:color w:val="000009"/>
                <w:sz w:val="20"/>
              </w:rPr>
              <w:t>10.68%</w:t>
            </w:r>
          </w:p>
        </w:tc>
        <w:tc>
          <w:tcPr>
            <w:tcW w:w="914" w:type="dxa"/>
          </w:tcPr>
          <w:p>
            <w:pPr>
              <w:pStyle w:val="TableParagraph"/>
              <w:ind w:left="345" w:right="0"/>
              <w:jc w:val="left"/>
              <w:rPr>
                <w:sz w:val="20"/>
              </w:rPr>
            </w:pPr>
            <w:r>
              <w:rPr>
                <w:color w:val="000009"/>
                <w:sz w:val="20"/>
              </w:rPr>
              <w:t>9.01%</w:t>
            </w:r>
          </w:p>
        </w:tc>
        <w:tc>
          <w:tcPr>
            <w:tcW w:w="914" w:type="dxa"/>
          </w:tcPr>
          <w:p>
            <w:pPr>
              <w:pStyle w:val="TableParagraph"/>
              <w:ind w:right="41"/>
              <w:rPr>
                <w:sz w:val="20"/>
              </w:rPr>
            </w:pPr>
            <w:r>
              <w:rPr>
                <w:color w:val="000009"/>
                <w:sz w:val="20"/>
              </w:rPr>
              <w:t>11.84%</w:t>
            </w:r>
          </w:p>
        </w:tc>
        <w:tc>
          <w:tcPr>
            <w:tcW w:w="914" w:type="dxa"/>
          </w:tcPr>
          <w:p>
            <w:pPr>
              <w:pStyle w:val="TableParagraph"/>
              <w:ind w:right="41"/>
              <w:rPr>
                <w:sz w:val="20"/>
              </w:rPr>
            </w:pPr>
            <w:r>
              <w:rPr>
                <w:color w:val="000009"/>
                <w:sz w:val="20"/>
              </w:rPr>
              <w:t>13.23%</w:t>
            </w:r>
          </w:p>
        </w:tc>
        <w:tc>
          <w:tcPr>
            <w:tcW w:w="914" w:type="dxa"/>
          </w:tcPr>
          <w:p>
            <w:pPr>
              <w:pStyle w:val="TableParagraph"/>
              <w:ind w:right="41"/>
              <w:rPr>
                <w:sz w:val="20"/>
              </w:rPr>
            </w:pPr>
            <w:r>
              <w:rPr>
                <w:color w:val="000009"/>
                <w:sz w:val="20"/>
              </w:rPr>
              <w:t>16.44%</w:t>
            </w:r>
          </w:p>
        </w:tc>
        <w:tc>
          <w:tcPr>
            <w:tcW w:w="912" w:type="dxa"/>
          </w:tcPr>
          <w:p>
            <w:pPr>
              <w:pStyle w:val="TableParagraph"/>
              <w:rPr>
                <w:sz w:val="20"/>
              </w:rPr>
            </w:pPr>
            <w:r>
              <w:rPr>
                <w:color w:val="000009"/>
                <w:sz w:val="20"/>
              </w:rPr>
              <w:t>13.35%</w:t>
            </w:r>
          </w:p>
        </w:tc>
        <w:tc>
          <w:tcPr>
            <w:tcW w:w="916" w:type="dxa"/>
          </w:tcPr>
          <w:p>
            <w:pPr>
              <w:pStyle w:val="TableParagraph"/>
              <w:ind w:right="41"/>
              <w:rPr>
                <w:sz w:val="20"/>
              </w:rPr>
            </w:pPr>
            <w:r>
              <w:rPr>
                <w:color w:val="000009"/>
                <w:sz w:val="20"/>
              </w:rPr>
              <w:t>17.78%</w:t>
            </w:r>
          </w:p>
        </w:tc>
      </w:tr>
      <w:tr>
        <w:trPr>
          <w:trHeight w:val="341" w:hRule="atLeast"/>
        </w:trPr>
        <w:tc>
          <w:tcPr>
            <w:tcW w:w="914" w:type="dxa"/>
          </w:tcPr>
          <w:p>
            <w:pPr>
              <w:pStyle w:val="TableParagraph"/>
              <w:ind w:left="57" w:right="0"/>
              <w:jc w:val="left"/>
              <w:rPr>
                <w:sz w:val="20"/>
              </w:rPr>
            </w:pPr>
            <w:r>
              <w:rPr>
                <w:color w:val="000009"/>
                <w:sz w:val="20"/>
              </w:rPr>
              <w:t>XOM</w:t>
            </w:r>
          </w:p>
        </w:tc>
        <w:tc>
          <w:tcPr>
            <w:tcW w:w="914" w:type="dxa"/>
          </w:tcPr>
          <w:p>
            <w:pPr>
              <w:pStyle w:val="TableParagraph"/>
              <w:ind w:right="41"/>
              <w:rPr>
                <w:sz w:val="20"/>
              </w:rPr>
            </w:pPr>
            <w:r>
              <w:rPr>
                <w:color w:val="000009"/>
                <w:sz w:val="20"/>
              </w:rPr>
              <w:t>2.59%</w:t>
            </w:r>
          </w:p>
        </w:tc>
        <w:tc>
          <w:tcPr>
            <w:tcW w:w="912" w:type="dxa"/>
          </w:tcPr>
          <w:p>
            <w:pPr>
              <w:pStyle w:val="TableParagraph"/>
              <w:rPr>
                <w:sz w:val="20"/>
              </w:rPr>
            </w:pPr>
            <w:r>
              <w:rPr>
                <w:color w:val="000009"/>
                <w:sz w:val="20"/>
              </w:rPr>
              <w:t>4.33%</w:t>
            </w:r>
          </w:p>
        </w:tc>
        <w:tc>
          <w:tcPr>
            <w:tcW w:w="914" w:type="dxa"/>
          </w:tcPr>
          <w:p>
            <w:pPr>
              <w:pStyle w:val="TableParagraph"/>
              <w:ind w:left="345" w:right="0"/>
              <w:jc w:val="left"/>
              <w:rPr>
                <w:sz w:val="20"/>
              </w:rPr>
            </w:pPr>
            <w:r>
              <w:rPr>
                <w:color w:val="000009"/>
                <w:sz w:val="20"/>
              </w:rPr>
              <w:t>2.59%</w:t>
            </w:r>
          </w:p>
        </w:tc>
        <w:tc>
          <w:tcPr>
            <w:tcW w:w="914" w:type="dxa"/>
          </w:tcPr>
          <w:p>
            <w:pPr>
              <w:pStyle w:val="TableParagraph"/>
              <w:ind w:right="41"/>
              <w:rPr>
                <w:sz w:val="20"/>
              </w:rPr>
            </w:pPr>
            <w:r>
              <w:rPr>
                <w:color w:val="000009"/>
                <w:sz w:val="20"/>
              </w:rPr>
              <w:t>12.89%</w:t>
            </w:r>
          </w:p>
        </w:tc>
        <w:tc>
          <w:tcPr>
            <w:tcW w:w="914" w:type="dxa"/>
          </w:tcPr>
          <w:p>
            <w:pPr>
              <w:pStyle w:val="TableParagraph"/>
              <w:ind w:right="41"/>
              <w:rPr>
                <w:sz w:val="20"/>
              </w:rPr>
            </w:pPr>
            <w:r>
              <w:rPr>
                <w:color w:val="000009"/>
                <w:sz w:val="20"/>
              </w:rPr>
              <w:t>1.22%</w:t>
            </w:r>
          </w:p>
        </w:tc>
        <w:tc>
          <w:tcPr>
            <w:tcW w:w="914" w:type="dxa"/>
          </w:tcPr>
          <w:p>
            <w:pPr>
              <w:pStyle w:val="TableParagraph"/>
              <w:ind w:right="41"/>
              <w:rPr>
                <w:sz w:val="20"/>
              </w:rPr>
            </w:pPr>
            <w:r>
              <w:rPr>
                <w:color w:val="000009"/>
                <w:sz w:val="20"/>
              </w:rPr>
              <w:t>5.64%</w:t>
            </w:r>
          </w:p>
        </w:tc>
        <w:tc>
          <w:tcPr>
            <w:tcW w:w="912" w:type="dxa"/>
          </w:tcPr>
          <w:p>
            <w:pPr>
              <w:pStyle w:val="TableParagraph"/>
              <w:rPr>
                <w:sz w:val="20"/>
              </w:rPr>
            </w:pPr>
            <w:r>
              <w:rPr>
                <w:color w:val="000009"/>
                <w:sz w:val="20"/>
              </w:rPr>
              <w:t>0.94%</w:t>
            </w:r>
          </w:p>
        </w:tc>
        <w:tc>
          <w:tcPr>
            <w:tcW w:w="916" w:type="dxa"/>
          </w:tcPr>
          <w:p>
            <w:pPr>
              <w:pStyle w:val="TableParagraph"/>
              <w:ind w:right="41"/>
              <w:rPr>
                <w:sz w:val="20"/>
              </w:rPr>
            </w:pPr>
            <w:r>
              <w:rPr>
                <w:color w:val="000009"/>
                <w:sz w:val="20"/>
              </w:rPr>
              <w:t>12.24%</w:t>
            </w:r>
          </w:p>
        </w:tc>
      </w:tr>
      <w:tr>
        <w:trPr>
          <w:trHeight w:val="340" w:hRule="atLeast"/>
        </w:trPr>
        <w:tc>
          <w:tcPr>
            <w:tcW w:w="914" w:type="dxa"/>
          </w:tcPr>
          <w:p>
            <w:pPr>
              <w:pStyle w:val="TableParagraph"/>
              <w:ind w:left="57" w:right="0"/>
              <w:jc w:val="left"/>
              <w:rPr>
                <w:b/>
                <w:sz w:val="20"/>
              </w:rPr>
            </w:pPr>
            <w:r>
              <w:rPr>
                <w:b/>
                <w:color w:val="000009"/>
                <w:sz w:val="20"/>
              </w:rPr>
              <w:t>Ort.</w:t>
            </w:r>
          </w:p>
        </w:tc>
        <w:tc>
          <w:tcPr>
            <w:tcW w:w="914" w:type="dxa"/>
          </w:tcPr>
          <w:p>
            <w:pPr>
              <w:pStyle w:val="TableParagraph"/>
              <w:ind w:right="41"/>
              <w:rPr>
                <w:sz w:val="20"/>
              </w:rPr>
            </w:pPr>
            <w:r>
              <w:rPr>
                <w:color w:val="000009"/>
                <w:sz w:val="20"/>
              </w:rPr>
              <w:t>4.82%</w:t>
            </w:r>
          </w:p>
        </w:tc>
        <w:tc>
          <w:tcPr>
            <w:tcW w:w="912" w:type="dxa"/>
          </w:tcPr>
          <w:p>
            <w:pPr>
              <w:pStyle w:val="TableParagraph"/>
              <w:rPr>
                <w:sz w:val="20"/>
              </w:rPr>
            </w:pPr>
            <w:r>
              <w:rPr>
                <w:color w:val="000009"/>
                <w:sz w:val="20"/>
              </w:rPr>
              <w:t>5.26%</w:t>
            </w:r>
          </w:p>
        </w:tc>
        <w:tc>
          <w:tcPr>
            <w:tcW w:w="914" w:type="dxa"/>
          </w:tcPr>
          <w:p>
            <w:pPr>
              <w:pStyle w:val="TableParagraph"/>
              <w:ind w:left="345" w:right="0"/>
              <w:jc w:val="left"/>
              <w:rPr>
                <w:sz w:val="20"/>
              </w:rPr>
            </w:pPr>
            <w:r>
              <w:rPr>
                <w:color w:val="000009"/>
                <w:sz w:val="20"/>
              </w:rPr>
              <w:t>4.60%</w:t>
            </w:r>
          </w:p>
        </w:tc>
        <w:tc>
          <w:tcPr>
            <w:tcW w:w="914" w:type="dxa"/>
          </w:tcPr>
          <w:p>
            <w:pPr>
              <w:pStyle w:val="TableParagraph"/>
              <w:ind w:right="41"/>
              <w:rPr>
                <w:sz w:val="20"/>
              </w:rPr>
            </w:pPr>
            <w:r>
              <w:rPr>
                <w:color w:val="000009"/>
                <w:sz w:val="20"/>
              </w:rPr>
              <w:t>5.86%</w:t>
            </w:r>
          </w:p>
        </w:tc>
        <w:tc>
          <w:tcPr>
            <w:tcW w:w="914" w:type="dxa"/>
          </w:tcPr>
          <w:p>
            <w:pPr>
              <w:pStyle w:val="TableParagraph"/>
              <w:ind w:right="41"/>
              <w:rPr>
                <w:sz w:val="20"/>
              </w:rPr>
            </w:pPr>
            <w:r>
              <w:rPr>
                <w:color w:val="000009"/>
                <w:sz w:val="20"/>
              </w:rPr>
              <w:t>7.28%</w:t>
            </w:r>
          </w:p>
        </w:tc>
        <w:tc>
          <w:tcPr>
            <w:tcW w:w="914" w:type="dxa"/>
          </w:tcPr>
          <w:p>
            <w:pPr>
              <w:pStyle w:val="TableParagraph"/>
              <w:ind w:right="41"/>
              <w:rPr>
                <w:sz w:val="20"/>
              </w:rPr>
            </w:pPr>
            <w:r>
              <w:rPr>
                <w:color w:val="000009"/>
                <w:sz w:val="20"/>
              </w:rPr>
              <w:t>8.56%</w:t>
            </w:r>
          </w:p>
        </w:tc>
        <w:tc>
          <w:tcPr>
            <w:tcW w:w="912" w:type="dxa"/>
          </w:tcPr>
          <w:p>
            <w:pPr>
              <w:pStyle w:val="TableParagraph"/>
              <w:rPr>
                <w:sz w:val="20"/>
              </w:rPr>
            </w:pPr>
            <w:r>
              <w:rPr>
                <w:color w:val="000009"/>
                <w:sz w:val="20"/>
              </w:rPr>
              <w:t>5.99%</w:t>
            </w:r>
          </w:p>
        </w:tc>
        <w:tc>
          <w:tcPr>
            <w:tcW w:w="916" w:type="dxa"/>
          </w:tcPr>
          <w:p>
            <w:pPr>
              <w:pStyle w:val="TableParagraph"/>
              <w:ind w:right="41"/>
              <w:rPr>
                <w:b/>
                <w:sz w:val="20"/>
              </w:rPr>
            </w:pPr>
            <w:r>
              <w:rPr>
                <w:b/>
                <w:color w:val="000009"/>
                <w:sz w:val="20"/>
              </w:rPr>
              <w:t>8.60%</w:t>
            </w:r>
          </w:p>
        </w:tc>
      </w:tr>
    </w:tbl>
    <w:p>
      <w:pPr>
        <w:spacing w:before="124"/>
        <w:ind w:left="590" w:right="998" w:firstLine="0"/>
        <w:jc w:val="left"/>
        <w:rPr>
          <w:i/>
          <w:sz w:val="24"/>
        </w:rPr>
      </w:pPr>
      <w:r>
        <w:rPr>
          <w:i/>
          <w:color w:val="000009"/>
          <w:sz w:val="24"/>
        </w:rPr>
        <w:t>Table </w:t>
      </w:r>
      <w:bookmarkStart w:name="_bookmark1" w:id="2"/>
      <w:bookmarkEnd w:id="2"/>
      <w:r>
        <w:rPr>
          <w:i/>
          <w:color w:val="000009"/>
          <w:sz w:val="24"/>
        </w:rPr>
        <w:t>3:</w:t>
      </w:r>
      <w:r>
        <w:rPr>
          <w:i/>
          <w:color w:val="000009"/>
          <w:sz w:val="24"/>
        </w:rPr>
        <w:t> CNN ile Finansal Analiz Yöntemine Açığa Satış, Zarar Durdur (ZD) ve Kâr </w:t>
      </w:r>
      <w:r>
        <w:rPr>
          <w:i/>
          <w:color w:val="000009"/>
          <w:sz w:val="24"/>
        </w:rPr>
        <w:t>Durdur (KD) Özellikleri Eklendikten Sonra Dow Jones 30 Endeksinde Bulunan Varlıkların Yıllık Ortalama Kârları</w:t>
      </w:r>
    </w:p>
    <w:p>
      <w:pPr>
        <w:spacing w:after="0"/>
        <w:jc w:val="left"/>
        <w:rPr>
          <w:sz w:val="24"/>
        </w:rPr>
        <w:sectPr>
          <w:pgSz w:w="11910" w:h="16840"/>
          <w:pgMar w:header="0" w:footer="1050" w:top="1400" w:bottom="1240" w:left="1680" w:right="0"/>
        </w:sectPr>
      </w:pPr>
    </w:p>
    <w:p>
      <w:pPr>
        <w:pStyle w:val="Heading2"/>
        <w:numPr>
          <w:ilvl w:val="1"/>
          <w:numId w:val="1"/>
        </w:numPr>
        <w:tabs>
          <w:tab w:pos="950" w:val="left" w:leader="none"/>
        </w:tabs>
        <w:spacing w:line="240" w:lineRule="auto" w:before="184" w:after="0"/>
        <w:ind w:left="950" w:right="0" w:hanging="360"/>
        <w:jc w:val="left"/>
      </w:pPr>
      <w:r>
        <w:rPr>
          <w:color w:val="000009"/>
        </w:rPr>
        <w:t>Long Call ve Long Put Stratejilerinin</w:t>
      </w:r>
      <w:r>
        <w:rPr>
          <w:color w:val="000009"/>
          <w:spacing w:val="-2"/>
        </w:rPr>
        <w:t> </w:t>
      </w:r>
      <w:r>
        <w:rPr>
          <w:color w:val="000009"/>
        </w:rPr>
        <w:t>Eklenmesi</w:t>
      </w:r>
    </w:p>
    <w:p>
      <w:pPr>
        <w:pStyle w:val="BodyText"/>
        <w:rPr>
          <w:b/>
          <w:sz w:val="26"/>
        </w:rPr>
      </w:pPr>
    </w:p>
    <w:p>
      <w:pPr>
        <w:pStyle w:val="BodyText"/>
        <w:spacing w:line="360" w:lineRule="auto" w:before="199"/>
        <w:ind w:left="590" w:right="1416"/>
        <w:jc w:val="both"/>
      </w:pPr>
      <w:r>
        <w:rPr>
          <w:color w:val="000009"/>
        </w:rPr>
        <w:t>Bu çalışmada finansal varlıkların kendileri yerine opsiyonların kullanılmasıyla başarımın arttırılmasını hedeflemiştir. Bu amaçla “al” sinyali geldiğinde eldeki paranın %10’u ile, varlığı “1 ay sonra şimdiki fiyatının %90’ından satın alma opsiyonu” satın alınmış, sat sinyali geldiğinde “1 ay sonra şimdiki fiyatının %10 üzerinde satma opsiyonu” satın alınmıştır. Böylece hem opsiyon kullanılarak kaldıraçlı işlem yapılması sağlanmış, hem de maliyet arttırılarak risk azaltılmıştır. (Varlığı 1 ay sonra şimdiki fiyatından satın alma opsiyonu çok daha ucuz olsa da fiyatın değişmemesi veya azalması durumunda yatırılan paranın tamamı kaybedilir, risk çok daha fazladır.)</w:t>
      </w:r>
    </w:p>
    <w:p>
      <w:pPr>
        <w:pStyle w:val="BodyText"/>
        <w:spacing w:before="5"/>
        <w:rPr>
          <w:sz w:val="10"/>
        </w:rPr>
      </w:pPr>
    </w:p>
    <w:tbl>
      <w:tblPr>
        <w:tblW w:w="0" w:type="auto"/>
        <w:jc w:val="left"/>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242"/>
        <w:gridCol w:w="1258"/>
        <w:gridCol w:w="1536"/>
        <w:gridCol w:w="1800"/>
        <w:gridCol w:w="1482"/>
      </w:tblGrid>
      <w:tr>
        <w:trPr>
          <w:trHeight w:val="342" w:hRule="atLeast"/>
        </w:trPr>
        <w:tc>
          <w:tcPr>
            <w:tcW w:w="914" w:type="dxa"/>
            <w:vMerge w:val="restart"/>
          </w:tcPr>
          <w:p>
            <w:pPr>
              <w:pStyle w:val="TableParagraph"/>
              <w:spacing w:before="11"/>
              <w:ind w:right="0"/>
              <w:jc w:val="left"/>
              <w:rPr>
                <w:sz w:val="24"/>
              </w:rPr>
            </w:pPr>
          </w:p>
          <w:p>
            <w:pPr>
              <w:pStyle w:val="TableParagraph"/>
              <w:spacing w:before="0"/>
              <w:ind w:left="263" w:right="0"/>
              <w:jc w:val="left"/>
              <w:rPr>
                <w:b/>
                <w:sz w:val="20"/>
              </w:rPr>
            </w:pPr>
            <w:r>
              <w:rPr>
                <w:b/>
                <w:color w:val="000009"/>
                <w:sz w:val="20"/>
              </w:rPr>
              <w:t>ETF</w:t>
            </w:r>
          </w:p>
        </w:tc>
        <w:tc>
          <w:tcPr>
            <w:tcW w:w="1242" w:type="dxa"/>
            <w:vMerge w:val="restart"/>
          </w:tcPr>
          <w:p>
            <w:pPr>
              <w:pStyle w:val="TableParagraph"/>
              <w:spacing w:line="242" w:lineRule="auto"/>
              <w:ind w:left="283" w:right="69" w:hanging="180"/>
              <w:jc w:val="left"/>
              <w:rPr>
                <w:b/>
                <w:sz w:val="20"/>
              </w:rPr>
            </w:pPr>
            <w:r>
              <w:rPr>
                <w:b/>
                <w:color w:val="000009"/>
                <w:sz w:val="20"/>
              </w:rPr>
              <w:t>Opsiyonsuz, KD, ZD</w:t>
            </w:r>
          </w:p>
        </w:tc>
        <w:tc>
          <w:tcPr>
            <w:tcW w:w="6076" w:type="dxa"/>
            <w:gridSpan w:val="4"/>
          </w:tcPr>
          <w:p>
            <w:pPr>
              <w:pStyle w:val="TableParagraph"/>
              <w:ind w:left="1912" w:right="0"/>
              <w:jc w:val="left"/>
              <w:rPr>
                <w:b/>
                <w:sz w:val="20"/>
              </w:rPr>
            </w:pPr>
            <w:r>
              <w:rPr>
                <w:b/>
                <w:color w:val="000009"/>
                <w:sz w:val="20"/>
              </w:rPr>
              <w:t>Opsiyon Satın Alındığında</w:t>
            </w:r>
          </w:p>
        </w:tc>
      </w:tr>
      <w:tr>
        <w:trPr>
          <w:trHeight w:val="340" w:hRule="atLeast"/>
        </w:trPr>
        <w:tc>
          <w:tcPr>
            <w:tcW w:w="914" w:type="dxa"/>
            <w:vMerge/>
            <w:tcBorders>
              <w:top w:val="nil"/>
            </w:tcBorders>
          </w:tcPr>
          <w:p>
            <w:pPr>
              <w:rPr>
                <w:sz w:val="2"/>
                <w:szCs w:val="2"/>
              </w:rPr>
            </w:pPr>
          </w:p>
        </w:tc>
        <w:tc>
          <w:tcPr>
            <w:tcW w:w="1242" w:type="dxa"/>
            <w:vMerge/>
            <w:tcBorders>
              <w:top w:val="nil"/>
            </w:tcBorders>
          </w:tcPr>
          <w:p>
            <w:pPr>
              <w:rPr>
                <w:sz w:val="2"/>
                <w:szCs w:val="2"/>
              </w:rPr>
            </w:pPr>
          </w:p>
        </w:tc>
        <w:tc>
          <w:tcPr>
            <w:tcW w:w="1258" w:type="dxa"/>
          </w:tcPr>
          <w:p>
            <w:pPr>
              <w:pStyle w:val="TableParagraph"/>
              <w:spacing w:before="0"/>
              <w:ind w:right="0"/>
              <w:jc w:val="left"/>
              <w:rPr>
                <w:rFonts w:ascii="Times New Roman"/>
                <w:sz w:val="22"/>
              </w:rPr>
            </w:pPr>
          </w:p>
        </w:tc>
        <w:tc>
          <w:tcPr>
            <w:tcW w:w="1536" w:type="dxa"/>
          </w:tcPr>
          <w:p>
            <w:pPr>
              <w:pStyle w:val="TableParagraph"/>
              <w:ind w:left="612" w:right="596"/>
              <w:jc w:val="center"/>
              <w:rPr>
                <w:b/>
                <w:sz w:val="20"/>
              </w:rPr>
            </w:pPr>
            <w:r>
              <w:rPr>
                <w:b/>
                <w:color w:val="000009"/>
                <w:sz w:val="20"/>
              </w:rPr>
              <w:t>ZD</w:t>
            </w:r>
          </w:p>
        </w:tc>
        <w:tc>
          <w:tcPr>
            <w:tcW w:w="1800" w:type="dxa"/>
          </w:tcPr>
          <w:p>
            <w:pPr>
              <w:pStyle w:val="TableParagraph"/>
              <w:ind w:left="732" w:right="718"/>
              <w:jc w:val="center"/>
              <w:rPr>
                <w:b/>
                <w:sz w:val="20"/>
              </w:rPr>
            </w:pPr>
            <w:r>
              <w:rPr>
                <w:b/>
                <w:color w:val="000009"/>
                <w:sz w:val="20"/>
              </w:rPr>
              <w:t>KD</w:t>
            </w:r>
          </w:p>
        </w:tc>
        <w:tc>
          <w:tcPr>
            <w:tcW w:w="1482" w:type="dxa"/>
          </w:tcPr>
          <w:p>
            <w:pPr>
              <w:pStyle w:val="TableParagraph"/>
              <w:ind w:left="403" w:right="0"/>
              <w:jc w:val="left"/>
              <w:rPr>
                <w:b/>
                <w:sz w:val="20"/>
              </w:rPr>
            </w:pPr>
            <w:r>
              <w:rPr>
                <w:b/>
                <w:color w:val="000009"/>
                <w:sz w:val="20"/>
              </w:rPr>
              <w:t>ZD, KD</w:t>
            </w:r>
          </w:p>
        </w:tc>
      </w:tr>
      <w:tr>
        <w:trPr>
          <w:trHeight w:val="341" w:hRule="atLeast"/>
        </w:trPr>
        <w:tc>
          <w:tcPr>
            <w:tcW w:w="914" w:type="dxa"/>
          </w:tcPr>
          <w:p>
            <w:pPr>
              <w:pStyle w:val="TableParagraph"/>
              <w:ind w:left="57" w:right="0"/>
              <w:jc w:val="left"/>
              <w:rPr>
                <w:sz w:val="20"/>
              </w:rPr>
            </w:pPr>
            <w:r>
              <w:rPr>
                <w:color w:val="000009"/>
                <w:sz w:val="20"/>
              </w:rPr>
              <w:t>XLF</w:t>
            </w:r>
          </w:p>
        </w:tc>
        <w:tc>
          <w:tcPr>
            <w:tcW w:w="1242" w:type="dxa"/>
          </w:tcPr>
          <w:p>
            <w:pPr>
              <w:pStyle w:val="TableParagraph"/>
              <w:rPr>
                <w:sz w:val="20"/>
              </w:rPr>
            </w:pPr>
            <w:r>
              <w:rPr>
                <w:color w:val="000009"/>
                <w:sz w:val="20"/>
              </w:rPr>
              <w:t>27.81%</w:t>
            </w:r>
          </w:p>
        </w:tc>
        <w:tc>
          <w:tcPr>
            <w:tcW w:w="1258" w:type="dxa"/>
          </w:tcPr>
          <w:p>
            <w:pPr>
              <w:pStyle w:val="TableParagraph"/>
              <w:ind w:right="41"/>
              <w:rPr>
                <w:sz w:val="20"/>
              </w:rPr>
            </w:pPr>
            <w:r>
              <w:rPr>
                <w:color w:val="000009"/>
                <w:sz w:val="20"/>
              </w:rPr>
              <w:t>-5.11%</w:t>
            </w:r>
          </w:p>
        </w:tc>
        <w:tc>
          <w:tcPr>
            <w:tcW w:w="1536" w:type="dxa"/>
          </w:tcPr>
          <w:p>
            <w:pPr>
              <w:pStyle w:val="TableParagraph"/>
              <w:rPr>
                <w:sz w:val="20"/>
              </w:rPr>
            </w:pPr>
            <w:r>
              <w:rPr>
                <w:color w:val="000009"/>
                <w:sz w:val="20"/>
              </w:rPr>
              <w:t>-13.21%</w:t>
            </w:r>
          </w:p>
        </w:tc>
        <w:tc>
          <w:tcPr>
            <w:tcW w:w="1800" w:type="dxa"/>
          </w:tcPr>
          <w:p>
            <w:pPr>
              <w:pStyle w:val="TableParagraph"/>
              <w:rPr>
                <w:sz w:val="20"/>
              </w:rPr>
            </w:pPr>
            <w:r>
              <w:rPr>
                <w:color w:val="000009"/>
                <w:sz w:val="20"/>
              </w:rPr>
              <w:t>6.59%</w:t>
            </w:r>
          </w:p>
        </w:tc>
        <w:tc>
          <w:tcPr>
            <w:tcW w:w="1482" w:type="dxa"/>
          </w:tcPr>
          <w:p>
            <w:pPr>
              <w:pStyle w:val="TableParagraph"/>
              <w:ind w:right="41"/>
              <w:rPr>
                <w:sz w:val="20"/>
              </w:rPr>
            </w:pPr>
            <w:r>
              <w:rPr>
                <w:color w:val="000009"/>
                <w:sz w:val="20"/>
              </w:rPr>
              <w:t>2.92%</w:t>
            </w:r>
          </w:p>
        </w:tc>
      </w:tr>
      <w:tr>
        <w:trPr>
          <w:trHeight w:val="340" w:hRule="atLeast"/>
        </w:trPr>
        <w:tc>
          <w:tcPr>
            <w:tcW w:w="914" w:type="dxa"/>
          </w:tcPr>
          <w:p>
            <w:pPr>
              <w:pStyle w:val="TableParagraph"/>
              <w:ind w:left="57" w:right="0"/>
              <w:jc w:val="left"/>
              <w:rPr>
                <w:sz w:val="20"/>
              </w:rPr>
            </w:pPr>
            <w:r>
              <w:rPr>
                <w:color w:val="000009"/>
                <w:sz w:val="20"/>
              </w:rPr>
              <w:t>XLU</w:t>
            </w:r>
          </w:p>
        </w:tc>
        <w:tc>
          <w:tcPr>
            <w:tcW w:w="1242" w:type="dxa"/>
          </w:tcPr>
          <w:p>
            <w:pPr>
              <w:pStyle w:val="TableParagraph"/>
              <w:rPr>
                <w:sz w:val="20"/>
              </w:rPr>
            </w:pPr>
            <w:r>
              <w:rPr>
                <w:color w:val="000009"/>
                <w:sz w:val="20"/>
              </w:rPr>
              <w:t>12.13%</w:t>
            </w:r>
          </w:p>
        </w:tc>
        <w:tc>
          <w:tcPr>
            <w:tcW w:w="1258" w:type="dxa"/>
          </w:tcPr>
          <w:p>
            <w:pPr>
              <w:pStyle w:val="TableParagraph"/>
              <w:ind w:right="41"/>
              <w:rPr>
                <w:sz w:val="20"/>
              </w:rPr>
            </w:pPr>
            <w:r>
              <w:rPr>
                <w:color w:val="000009"/>
                <w:sz w:val="20"/>
              </w:rPr>
              <w:t>8.24%</w:t>
            </w:r>
          </w:p>
        </w:tc>
        <w:tc>
          <w:tcPr>
            <w:tcW w:w="1536" w:type="dxa"/>
          </w:tcPr>
          <w:p>
            <w:pPr>
              <w:pStyle w:val="TableParagraph"/>
              <w:rPr>
                <w:sz w:val="20"/>
              </w:rPr>
            </w:pPr>
            <w:r>
              <w:rPr>
                <w:color w:val="000009"/>
                <w:sz w:val="20"/>
              </w:rPr>
              <w:t>-12.36%</w:t>
            </w:r>
          </w:p>
        </w:tc>
        <w:tc>
          <w:tcPr>
            <w:tcW w:w="1800" w:type="dxa"/>
          </w:tcPr>
          <w:p>
            <w:pPr>
              <w:pStyle w:val="TableParagraph"/>
              <w:rPr>
                <w:sz w:val="20"/>
              </w:rPr>
            </w:pPr>
            <w:r>
              <w:rPr>
                <w:color w:val="000009"/>
                <w:sz w:val="20"/>
              </w:rPr>
              <w:t>18.23%</w:t>
            </w:r>
          </w:p>
        </w:tc>
        <w:tc>
          <w:tcPr>
            <w:tcW w:w="1482" w:type="dxa"/>
          </w:tcPr>
          <w:p>
            <w:pPr>
              <w:pStyle w:val="TableParagraph"/>
              <w:rPr>
                <w:sz w:val="20"/>
              </w:rPr>
            </w:pPr>
            <w:r>
              <w:rPr>
                <w:color w:val="000009"/>
                <w:sz w:val="20"/>
              </w:rPr>
              <w:t>-2.68%</w:t>
            </w:r>
          </w:p>
        </w:tc>
      </w:tr>
      <w:tr>
        <w:trPr>
          <w:trHeight w:val="342" w:hRule="atLeast"/>
        </w:trPr>
        <w:tc>
          <w:tcPr>
            <w:tcW w:w="914" w:type="dxa"/>
          </w:tcPr>
          <w:p>
            <w:pPr>
              <w:pStyle w:val="TableParagraph"/>
              <w:ind w:left="57" w:right="0"/>
              <w:jc w:val="left"/>
              <w:rPr>
                <w:sz w:val="20"/>
              </w:rPr>
            </w:pPr>
            <w:r>
              <w:rPr>
                <w:color w:val="000009"/>
                <w:sz w:val="20"/>
              </w:rPr>
              <w:t>QQQ</w:t>
            </w:r>
          </w:p>
        </w:tc>
        <w:tc>
          <w:tcPr>
            <w:tcW w:w="1242" w:type="dxa"/>
          </w:tcPr>
          <w:p>
            <w:pPr>
              <w:pStyle w:val="TableParagraph"/>
              <w:rPr>
                <w:sz w:val="20"/>
              </w:rPr>
            </w:pPr>
            <w:r>
              <w:rPr>
                <w:color w:val="000009"/>
                <w:sz w:val="20"/>
              </w:rPr>
              <w:t>6.14%</w:t>
            </w:r>
          </w:p>
        </w:tc>
        <w:tc>
          <w:tcPr>
            <w:tcW w:w="1258" w:type="dxa"/>
          </w:tcPr>
          <w:p>
            <w:pPr>
              <w:pStyle w:val="TableParagraph"/>
              <w:ind w:right="41"/>
              <w:rPr>
                <w:sz w:val="20"/>
              </w:rPr>
            </w:pPr>
            <w:r>
              <w:rPr>
                <w:color w:val="000009"/>
                <w:sz w:val="20"/>
              </w:rPr>
              <w:t>5.66%</w:t>
            </w:r>
          </w:p>
        </w:tc>
        <w:tc>
          <w:tcPr>
            <w:tcW w:w="1536" w:type="dxa"/>
          </w:tcPr>
          <w:p>
            <w:pPr>
              <w:pStyle w:val="TableParagraph"/>
              <w:rPr>
                <w:sz w:val="20"/>
              </w:rPr>
            </w:pPr>
            <w:r>
              <w:rPr>
                <w:color w:val="000009"/>
                <w:sz w:val="20"/>
              </w:rPr>
              <w:t>7.01%</w:t>
            </w:r>
          </w:p>
        </w:tc>
        <w:tc>
          <w:tcPr>
            <w:tcW w:w="1800" w:type="dxa"/>
          </w:tcPr>
          <w:p>
            <w:pPr>
              <w:pStyle w:val="TableParagraph"/>
              <w:rPr>
                <w:sz w:val="20"/>
              </w:rPr>
            </w:pPr>
            <w:r>
              <w:rPr>
                <w:color w:val="000009"/>
                <w:sz w:val="20"/>
              </w:rPr>
              <w:t>12.72%</w:t>
            </w:r>
          </w:p>
        </w:tc>
        <w:tc>
          <w:tcPr>
            <w:tcW w:w="1482" w:type="dxa"/>
          </w:tcPr>
          <w:p>
            <w:pPr>
              <w:pStyle w:val="TableParagraph"/>
              <w:ind w:right="41"/>
              <w:rPr>
                <w:sz w:val="20"/>
              </w:rPr>
            </w:pPr>
            <w:r>
              <w:rPr>
                <w:color w:val="000009"/>
                <w:sz w:val="20"/>
              </w:rPr>
              <w:t>1.75%</w:t>
            </w:r>
          </w:p>
        </w:tc>
      </w:tr>
      <w:tr>
        <w:trPr>
          <w:trHeight w:val="340" w:hRule="atLeast"/>
        </w:trPr>
        <w:tc>
          <w:tcPr>
            <w:tcW w:w="914" w:type="dxa"/>
          </w:tcPr>
          <w:p>
            <w:pPr>
              <w:pStyle w:val="TableParagraph"/>
              <w:ind w:left="57" w:right="0"/>
              <w:jc w:val="left"/>
              <w:rPr>
                <w:sz w:val="20"/>
              </w:rPr>
            </w:pPr>
            <w:r>
              <w:rPr>
                <w:color w:val="000009"/>
                <w:sz w:val="20"/>
              </w:rPr>
              <w:t>SPY</w:t>
            </w:r>
          </w:p>
        </w:tc>
        <w:tc>
          <w:tcPr>
            <w:tcW w:w="1242" w:type="dxa"/>
          </w:tcPr>
          <w:p>
            <w:pPr>
              <w:pStyle w:val="TableParagraph"/>
              <w:rPr>
                <w:sz w:val="20"/>
              </w:rPr>
            </w:pPr>
            <w:r>
              <w:rPr>
                <w:color w:val="000009"/>
                <w:sz w:val="20"/>
              </w:rPr>
              <w:t>12.19%</w:t>
            </w:r>
          </w:p>
        </w:tc>
        <w:tc>
          <w:tcPr>
            <w:tcW w:w="1258" w:type="dxa"/>
          </w:tcPr>
          <w:p>
            <w:pPr>
              <w:pStyle w:val="TableParagraph"/>
              <w:ind w:right="41"/>
              <w:rPr>
                <w:sz w:val="20"/>
              </w:rPr>
            </w:pPr>
            <w:r>
              <w:rPr>
                <w:color w:val="000009"/>
                <w:sz w:val="20"/>
              </w:rPr>
              <w:t>3.71%</w:t>
            </w:r>
          </w:p>
        </w:tc>
        <w:tc>
          <w:tcPr>
            <w:tcW w:w="1536" w:type="dxa"/>
          </w:tcPr>
          <w:p>
            <w:pPr>
              <w:pStyle w:val="TableParagraph"/>
              <w:rPr>
                <w:sz w:val="20"/>
              </w:rPr>
            </w:pPr>
            <w:r>
              <w:rPr>
                <w:color w:val="000009"/>
                <w:sz w:val="20"/>
              </w:rPr>
              <w:t>-0.31%</w:t>
            </w:r>
          </w:p>
        </w:tc>
        <w:tc>
          <w:tcPr>
            <w:tcW w:w="1800" w:type="dxa"/>
          </w:tcPr>
          <w:p>
            <w:pPr>
              <w:pStyle w:val="TableParagraph"/>
              <w:rPr>
                <w:sz w:val="20"/>
              </w:rPr>
            </w:pPr>
            <w:r>
              <w:rPr>
                <w:color w:val="000009"/>
                <w:sz w:val="20"/>
              </w:rPr>
              <w:t>1.27%</w:t>
            </w:r>
          </w:p>
        </w:tc>
        <w:tc>
          <w:tcPr>
            <w:tcW w:w="1482" w:type="dxa"/>
          </w:tcPr>
          <w:p>
            <w:pPr>
              <w:pStyle w:val="TableParagraph"/>
              <w:ind w:right="41"/>
              <w:rPr>
                <w:sz w:val="20"/>
              </w:rPr>
            </w:pPr>
            <w:r>
              <w:rPr>
                <w:color w:val="000009"/>
                <w:sz w:val="20"/>
              </w:rPr>
              <w:t>0.24%</w:t>
            </w:r>
          </w:p>
        </w:tc>
      </w:tr>
      <w:tr>
        <w:trPr>
          <w:trHeight w:val="341" w:hRule="atLeast"/>
        </w:trPr>
        <w:tc>
          <w:tcPr>
            <w:tcW w:w="914" w:type="dxa"/>
          </w:tcPr>
          <w:p>
            <w:pPr>
              <w:pStyle w:val="TableParagraph"/>
              <w:ind w:left="57" w:right="0"/>
              <w:jc w:val="left"/>
              <w:rPr>
                <w:sz w:val="20"/>
              </w:rPr>
            </w:pPr>
            <w:r>
              <w:rPr>
                <w:color w:val="000009"/>
                <w:sz w:val="20"/>
              </w:rPr>
              <w:t>XLP</w:t>
            </w:r>
          </w:p>
        </w:tc>
        <w:tc>
          <w:tcPr>
            <w:tcW w:w="1242" w:type="dxa"/>
          </w:tcPr>
          <w:p>
            <w:pPr>
              <w:pStyle w:val="TableParagraph"/>
              <w:rPr>
                <w:sz w:val="20"/>
              </w:rPr>
            </w:pPr>
            <w:r>
              <w:rPr>
                <w:color w:val="000009"/>
                <w:sz w:val="20"/>
              </w:rPr>
              <w:t>12.72%</w:t>
            </w:r>
          </w:p>
        </w:tc>
        <w:tc>
          <w:tcPr>
            <w:tcW w:w="1258" w:type="dxa"/>
          </w:tcPr>
          <w:p>
            <w:pPr>
              <w:pStyle w:val="TableParagraph"/>
              <w:rPr>
                <w:sz w:val="20"/>
              </w:rPr>
            </w:pPr>
            <w:r>
              <w:rPr>
                <w:color w:val="000009"/>
                <w:sz w:val="20"/>
              </w:rPr>
              <w:t>-5.85%</w:t>
            </w:r>
          </w:p>
        </w:tc>
        <w:tc>
          <w:tcPr>
            <w:tcW w:w="1536" w:type="dxa"/>
          </w:tcPr>
          <w:p>
            <w:pPr>
              <w:pStyle w:val="TableParagraph"/>
              <w:rPr>
                <w:sz w:val="20"/>
              </w:rPr>
            </w:pPr>
            <w:r>
              <w:rPr>
                <w:color w:val="000009"/>
                <w:sz w:val="20"/>
              </w:rPr>
              <w:t>-8.81%</w:t>
            </w:r>
          </w:p>
        </w:tc>
        <w:tc>
          <w:tcPr>
            <w:tcW w:w="1800" w:type="dxa"/>
          </w:tcPr>
          <w:p>
            <w:pPr>
              <w:pStyle w:val="TableParagraph"/>
              <w:rPr>
                <w:sz w:val="20"/>
              </w:rPr>
            </w:pPr>
            <w:r>
              <w:rPr>
                <w:color w:val="000009"/>
                <w:sz w:val="20"/>
              </w:rPr>
              <w:t>6.44%</w:t>
            </w:r>
          </w:p>
        </w:tc>
        <w:tc>
          <w:tcPr>
            <w:tcW w:w="1482" w:type="dxa"/>
          </w:tcPr>
          <w:p>
            <w:pPr>
              <w:pStyle w:val="TableParagraph"/>
              <w:ind w:right="41"/>
              <w:rPr>
                <w:sz w:val="20"/>
              </w:rPr>
            </w:pPr>
            <w:r>
              <w:rPr>
                <w:color w:val="000009"/>
                <w:sz w:val="20"/>
              </w:rPr>
              <w:t>9.64%</w:t>
            </w:r>
          </w:p>
        </w:tc>
      </w:tr>
      <w:tr>
        <w:trPr>
          <w:trHeight w:val="340" w:hRule="atLeast"/>
        </w:trPr>
        <w:tc>
          <w:tcPr>
            <w:tcW w:w="914" w:type="dxa"/>
          </w:tcPr>
          <w:p>
            <w:pPr>
              <w:pStyle w:val="TableParagraph"/>
              <w:ind w:left="57" w:right="0"/>
              <w:jc w:val="left"/>
              <w:rPr>
                <w:sz w:val="20"/>
              </w:rPr>
            </w:pPr>
            <w:r>
              <w:rPr>
                <w:color w:val="000009"/>
                <w:sz w:val="20"/>
              </w:rPr>
              <w:t>EWZ</w:t>
            </w:r>
          </w:p>
        </w:tc>
        <w:tc>
          <w:tcPr>
            <w:tcW w:w="1242" w:type="dxa"/>
          </w:tcPr>
          <w:p>
            <w:pPr>
              <w:pStyle w:val="TableParagraph"/>
              <w:rPr>
                <w:sz w:val="20"/>
              </w:rPr>
            </w:pPr>
            <w:r>
              <w:rPr>
                <w:color w:val="000009"/>
                <w:sz w:val="20"/>
              </w:rPr>
              <w:t>-10.65%</w:t>
            </w:r>
          </w:p>
        </w:tc>
        <w:tc>
          <w:tcPr>
            <w:tcW w:w="1258" w:type="dxa"/>
          </w:tcPr>
          <w:p>
            <w:pPr>
              <w:pStyle w:val="TableParagraph"/>
              <w:rPr>
                <w:sz w:val="20"/>
              </w:rPr>
            </w:pPr>
            <w:r>
              <w:rPr>
                <w:color w:val="000009"/>
                <w:sz w:val="20"/>
              </w:rPr>
              <w:t>-5.06%</w:t>
            </w:r>
          </w:p>
        </w:tc>
        <w:tc>
          <w:tcPr>
            <w:tcW w:w="1536" w:type="dxa"/>
          </w:tcPr>
          <w:p>
            <w:pPr>
              <w:pStyle w:val="TableParagraph"/>
              <w:rPr>
                <w:sz w:val="20"/>
              </w:rPr>
            </w:pPr>
            <w:r>
              <w:rPr>
                <w:color w:val="000009"/>
                <w:sz w:val="20"/>
              </w:rPr>
              <w:t>17.22%</w:t>
            </w:r>
          </w:p>
        </w:tc>
        <w:tc>
          <w:tcPr>
            <w:tcW w:w="1800" w:type="dxa"/>
          </w:tcPr>
          <w:p>
            <w:pPr>
              <w:pStyle w:val="TableParagraph"/>
              <w:rPr>
                <w:sz w:val="20"/>
              </w:rPr>
            </w:pPr>
            <w:r>
              <w:rPr>
                <w:color w:val="000009"/>
                <w:sz w:val="20"/>
              </w:rPr>
              <w:t>-12.98%</w:t>
            </w:r>
          </w:p>
        </w:tc>
        <w:tc>
          <w:tcPr>
            <w:tcW w:w="1482" w:type="dxa"/>
          </w:tcPr>
          <w:p>
            <w:pPr>
              <w:pStyle w:val="TableParagraph"/>
              <w:ind w:right="41"/>
              <w:rPr>
                <w:sz w:val="20"/>
              </w:rPr>
            </w:pPr>
            <w:r>
              <w:rPr>
                <w:color w:val="000009"/>
                <w:sz w:val="20"/>
              </w:rPr>
              <w:t>0.74%</w:t>
            </w:r>
          </w:p>
        </w:tc>
      </w:tr>
      <w:tr>
        <w:trPr>
          <w:trHeight w:val="342" w:hRule="atLeast"/>
        </w:trPr>
        <w:tc>
          <w:tcPr>
            <w:tcW w:w="914" w:type="dxa"/>
          </w:tcPr>
          <w:p>
            <w:pPr>
              <w:pStyle w:val="TableParagraph"/>
              <w:ind w:left="57" w:right="0"/>
              <w:jc w:val="left"/>
              <w:rPr>
                <w:sz w:val="20"/>
              </w:rPr>
            </w:pPr>
            <w:r>
              <w:rPr>
                <w:color w:val="000009"/>
                <w:sz w:val="20"/>
              </w:rPr>
              <w:t>EWH</w:t>
            </w:r>
          </w:p>
        </w:tc>
        <w:tc>
          <w:tcPr>
            <w:tcW w:w="1242" w:type="dxa"/>
          </w:tcPr>
          <w:p>
            <w:pPr>
              <w:pStyle w:val="TableParagraph"/>
              <w:rPr>
                <w:sz w:val="20"/>
              </w:rPr>
            </w:pPr>
            <w:r>
              <w:rPr>
                <w:color w:val="000009"/>
                <w:sz w:val="20"/>
              </w:rPr>
              <w:t>22.20%</w:t>
            </w:r>
          </w:p>
        </w:tc>
        <w:tc>
          <w:tcPr>
            <w:tcW w:w="1258" w:type="dxa"/>
          </w:tcPr>
          <w:p>
            <w:pPr>
              <w:pStyle w:val="TableParagraph"/>
              <w:ind w:right="41"/>
              <w:rPr>
                <w:sz w:val="20"/>
              </w:rPr>
            </w:pPr>
            <w:r>
              <w:rPr>
                <w:color w:val="000009"/>
                <w:sz w:val="20"/>
              </w:rPr>
              <w:t>4.88%</w:t>
            </w:r>
          </w:p>
        </w:tc>
        <w:tc>
          <w:tcPr>
            <w:tcW w:w="1536" w:type="dxa"/>
          </w:tcPr>
          <w:p>
            <w:pPr>
              <w:pStyle w:val="TableParagraph"/>
              <w:rPr>
                <w:sz w:val="20"/>
              </w:rPr>
            </w:pPr>
            <w:r>
              <w:rPr>
                <w:color w:val="000009"/>
                <w:sz w:val="20"/>
              </w:rPr>
              <w:t>38.72%</w:t>
            </w:r>
          </w:p>
        </w:tc>
        <w:tc>
          <w:tcPr>
            <w:tcW w:w="1800" w:type="dxa"/>
          </w:tcPr>
          <w:p>
            <w:pPr>
              <w:pStyle w:val="TableParagraph"/>
              <w:rPr>
                <w:sz w:val="20"/>
              </w:rPr>
            </w:pPr>
            <w:r>
              <w:rPr>
                <w:color w:val="000009"/>
                <w:sz w:val="20"/>
              </w:rPr>
              <w:t>12.70%</w:t>
            </w:r>
          </w:p>
        </w:tc>
        <w:tc>
          <w:tcPr>
            <w:tcW w:w="1482" w:type="dxa"/>
          </w:tcPr>
          <w:p>
            <w:pPr>
              <w:pStyle w:val="TableParagraph"/>
              <w:ind w:right="41"/>
              <w:rPr>
                <w:sz w:val="20"/>
              </w:rPr>
            </w:pPr>
            <w:r>
              <w:rPr>
                <w:color w:val="000009"/>
                <w:sz w:val="20"/>
              </w:rPr>
              <w:t>41.45%</w:t>
            </w:r>
          </w:p>
        </w:tc>
      </w:tr>
      <w:tr>
        <w:trPr>
          <w:trHeight w:val="340" w:hRule="atLeast"/>
        </w:trPr>
        <w:tc>
          <w:tcPr>
            <w:tcW w:w="914" w:type="dxa"/>
          </w:tcPr>
          <w:p>
            <w:pPr>
              <w:pStyle w:val="TableParagraph"/>
              <w:ind w:left="57" w:right="0"/>
              <w:jc w:val="left"/>
              <w:rPr>
                <w:sz w:val="20"/>
              </w:rPr>
            </w:pPr>
            <w:r>
              <w:rPr>
                <w:color w:val="000009"/>
                <w:sz w:val="20"/>
              </w:rPr>
              <w:t>XLY</w:t>
            </w:r>
          </w:p>
        </w:tc>
        <w:tc>
          <w:tcPr>
            <w:tcW w:w="1242" w:type="dxa"/>
          </w:tcPr>
          <w:p>
            <w:pPr>
              <w:pStyle w:val="TableParagraph"/>
              <w:rPr>
                <w:sz w:val="20"/>
              </w:rPr>
            </w:pPr>
            <w:r>
              <w:rPr>
                <w:color w:val="000009"/>
                <w:sz w:val="20"/>
              </w:rPr>
              <w:t>-10.56%</w:t>
            </w:r>
          </w:p>
        </w:tc>
        <w:tc>
          <w:tcPr>
            <w:tcW w:w="1258" w:type="dxa"/>
          </w:tcPr>
          <w:p>
            <w:pPr>
              <w:pStyle w:val="TableParagraph"/>
              <w:rPr>
                <w:sz w:val="20"/>
              </w:rPr>
            </w:pPr>
            <w:r>
              <w:rPr>
                <w:color w:val="000009"/>
                <w:sz w:val="20"/>
              </w:rPr>
              <w:t>-31.53%</w:t>
            </w:r>
          </w:p>
        </w:tc>
        <w:tc>
          <w:tcPr>
            <w:tcW w:w="1536" w:type="dxa"/>
          </w:tcPr>
          <w:p>
            <w:pPr>
              <w:pStyle w:val="TableParagraph"/>
              <w:rPr>
                <w:sz w:val="20"/>
              </w:rPr>
            </w:pPr>
            <w:r>
              <w:rPr>
                <w:color w:val="000009"/>
                <w:sz w:val="20"/>
              </w:rPr>
              <w:t>-17.47%</w:t>
            </w:r>
          </w:p>
        </w:tc>
        <w:tc>
          <w:tcPr>
            <w:tcW w:w="1800" w:type="dxa"/>
          </w:tcPr>
          <w:p>
            <w:pPr>
              <w:pStyle w:val="TableParagraph"/>
              <w:rPr>
                <w:sz w:val="20"/>
              </w:rPr>
            </w:pPr>
            <w:r>
              <w:rPr>
                <w:color w:val="000009"/>
                <w:sz w:val="20"/>
              </w:rPr>
              <w:t>-14.25%</w:t>
            </w:r>
          </w:p>
        </w:tc>
        <w:tc>
          <w:tcPr>
            <w:tcW w:w="1482" w:type="dxa"/>
          </w:tcPr>
          <w:p>
            <w:pPr>
              <w:pStyle w:val="TableParagraph"/>
              <w:rPr>
                <w:sz w:val="20"/>
              </w:rPr>
            </w:pPr>
            <w:r>
              <w:rPr>
                <w:color w:val="000009"/>
                <w:sz w:val="20"/>
              </w:rPr>
              <w:t>-13.90%</w:t>
            </w:r>
          </w:p>
        </w:tc>
      </w:tr>
      <w:tr>
        <w:trPr>
          <w:trHeight w:val="342" w:hRule="atLeast"/>
        </w:trPr>
        <w:tc>
          <w:tcPr>
            <w:tcW w:w="914" w:type="dxa"/>
          </w:tcPr>
          <w:p>
            <w:pPr>
              <w:pStyle w:val="TableParagraph"/>
              <w:ind w:left="57" w:right="0"/>
              <w:jc w:val="left"/>
              <w:rPr>
                <w:sz w:val="20"/>
              </w:rPr>
            </w:pPr>
            <w:r>
              <w:rPr>
                <w:color w:val="000009"/>
                <w:sz w:val="20"/>
              </w:rPr>
              <w:t>XLE</w:t>
            </w:r>
          </w:p>
        </w:tc>
        <w:tc>
          <w:tcPr>
            <w:tcW w:w="1242" w:type="dxa"/>
          </w:tcPr>
          <w:p>
            <w:pPr>
              <w:pStyle w:val="TableParagraph"/>
              <w:rPr>
                <w:sz w:val="20"/>
              </w:rPr>
            </w:pPr>
            <w:r>
              <w:rPr>
                <w:color w:val="000009"/>
                <w:sz w:val="20"/>
              </w:rPr>
              <w:t>23.43%</w:t>
            </w:r>
          </w:p>
        </w:tc>
        <w:tc>
          <w:tcPr>
            <w:tcW w:w="1258" w:type="dxa"/>
          </w:tcPr>
          <w:p>
            <w:pPr>
              <w:pStyle w:val="TableParagraph"/>
              <w:ind w:right="41"/>
              <w:rPr>
                <w:sz w:val="20"/>
              </w:rPr>
            </w:pPr>
            <w:r>
              <w:rPr>
                <w:color w:val="000009"/>
                <w:sz w:val="20"/>
              </w:rPr>
              <w:t>0.34%</w:t>
            </w:r>
          </w:p>
        </w:tc>
        <w:tc>
          <w:tcPr>
            <w:tcW w:w="1536" w:type="dxa"/>
          </w:tcPr>
          <w:p>
            <w:pPr>
              <w:pStyle w:val="TableParagraph"/>
              <w:rPr>
                <w:sz w:val="20"/>
              </w:rPr>
            </w:pPr>
            <w:r>
              <w:rPr>
                <w:color w:val="000009"/>
                <w:sz w:val="20"/>
              </w:rPr>
              <w:t>10.27%</w:t>
            </w:r>
          </w:p>
        </w:tc>
        <w:tc>
          <w:tcPr>
            <w:tcW w:w="1800" w:type="dxa"/>
          </w:tcPr>
          <w:p>
            <w:pPr>
              <w:pStyle w:val="TableParagraph"/>
              <w:rPr>
                <w:sz w:val="20"/>
              </w:rPr>
            </w:pPr>
            <w:r>
              <w:rPr>
                <w:color w:val="000009"/>
                <w:sz w:val="20"/>
              </w:rPr>
              <w:t>12.80%</w:t>
            </w:r>
          </w:p>
        </w:tc>
        <w:tc>
          <w:tcPr>
            <w:tcW w:w="1482" w:type="dxa"/>
          </w:tcPr>
          <w:p>
            <w:pPr>
              <w:pStyle w:val="TableParagraph"/>
              <w:ind w:right="41"/>
              <w:rPr>
                <w:sz w:val="20"/>
              </w:rPr>
            </w:pPr>
            <w:r>
              <w:rPr>
                <w:color w:val="000009"/>
                <w:sz w:val="20"/>
              </w:rPr>
              <w:t>27.35%</w:t>
            </w:r>
          </w:p>
        </w:tc>
      </w:tr>
      <w:tr>
        <w:trPr>
          <w:trHeight w:val="340" w:hRule="atLeast"/>
        </w:trPr>
        <w:tc>
          <w:tcPr>
            <w:tcW w:w="914" w:type="dxa"/>
          </w:tcPr>
          <w:p>
            <w:pPr>
              <w:pStyle w:val="TableParagraph"/>
              <w:ind w:left="57" w:right="0"/>
              <w:jc w:val="left"/>
              <w:rPr>
                <w:b/>
                <w:sz w:val="20"/>
              </w:rPr>
            </w:pPr>
            <w:r>
              <w:rPr>
                <w:b/>
                <w:color w:val="000009"/>
                <w:sz w:val="20"/>
              </w:rPr>
              <w:t>Ort.</w:t>
            </w:r>
          </w:p>
        </w:tc>
        <w:tc>
          <w:tcPr>
            <w:tcW w:w="1242" w:type="dxa"/>
          </w:tcPr>
          <w:p>
            <w:pPr>
              <w:pStyle w:val="TableParagraph"/>
              <w:ind w:right="41"/>
              <w:rPr>
                <w:b/>
                <w:sz w:val="20"/>
              </w:rPr>
            </w:pPr>
            <w:r>
              <w:rPr>
                <w:b/>
                <w:color w:val="000009"/>
                <w:sz w:val="20"/>
              </w:rPr>
              <w:t>10.60%</w:t>
            </w:r>
          </w:p>
        </w:tc>
        <w:tc>
          <w:tcPr>
            <w:tcW w:w="1258" w:type="dxa"/>
          </w:tcPr>
          <w:p>
            <w:pPr>
              <w:pStyle w:val="TableParagraph"/>
              <w:rPr>
                <w:sz w:val="20"/>
              </w:rPr>
            </w:pPr>
            <w:r>
              <w:rPr>
                <w:color w:val="000009"/>
                <w:sz w:val="20"/>
              </w:rPr>
              <w:t>-2.75%</w:t>
            </w:r>
          </w:p>
        </w:tc>
        <w:tc>
          <w:tcPr>
            <w:tcW w:w="1536" w:type="dxa"/>
          </w:tcPr>
          <w:p>
            <w:pPr>
              <w:pStyle w:val="TableParagraph"/>
              <w:rPr>
                <w:sz w:val="20"/>
              </w:rPr>
            </w:pPr>
            <w:r>
              <w:rPr>
                <w:color w:val="000009"/>
                <w:sz w:val="20"/>
              </w:rPr>
              <w:t>2.34%</w:t>
            </w:r>
          </w:p>
        </w:tc>
        <w:tc>
          <w:tcPr>
            <w:tcW w:w="1800" w:type="dxa"/>
          </w:tcPr>
          <w:p>
            <w:pPr>
              <w:pStyle w:val="TableParagraph"/>
              <w:rPr>
                <w:sz w:val="20"/>
              </w:rPr>
            </w:pPr>
            <w:r>
              <w:rPr>
                <w:color w:val="000009"/>
                <w:sz w:val="20"/>
              </w:rPr>
              <w:t>4.84%</w:t>
            </w:r>
          </w:p>
        </w:tc>
        <w:tc>
          <w:tcPr>
            <w:tcW w:w="1482" w:type="dxa"/>
          </w:tcPr>
          <w:p>
            <w:pPr>
              <w:pStyle w:val="TableParagraph"/>
              <w:ind w:right="41"/>
              <w:rPr>
                <w:sz w:val="20"/>
              </w:rPr>
            </w:pPr>
            <w:r>
              <w:rPr>
                <w:color w:val="000009"/>
                <w:sz w:val="20"/>
              </w:rPr>
              <w:t>7.50%</w:t>
            </w:r>
          </w:p>
        </w:tc>
      </w:tr>
    </w:tbl>
    <w:p>
      <w:pPr>
        <w:spacing w:before="120"/>
        <w:ind w:left="590" w:right="1589" w:firstLine="0"/>
        <w:jc w:val="left"/>
        <w:rPr>
          <w:i/>
          <w:sz w:val="24"/>
        </w:rPr>
      </w:pPr>
      <w:r>
        <w:rPr>
          <w:i/>
          <w:color w:val="000009"/>
          <w:sz w:val="24"/>
        </w:rPr>
        <w:t>Tablo </w:t>
      </w:r>
      <w:bookmarkStart w:name="_bookmark2" w:id="3"/>
      <w:bookmarkEnd w:id="3"/>
      <w:r>
        <w:rPr>
          <w:i/>
          <w:color w:val="000009"/>
          <w:sz w:val="24"/>
        </w:rPr>
        <w:t>4:</w:t>
      </w:r>
      <w:r>
        <w:rPr>
          <w:i/>
          <w:color w:val="000009"/>
          <w:sz w:val="24"/>
        </w:rPr>
        <w:t> CNN-FA Yöntemine Opsiyon Satın Alma Stratejisi Eklendiğinde ETF'lerin </w:t>
      </w:r>
      <w:r>
        <w:rPr>
          <w:i/>
          <w:color w:val="000009"/>
          <w:sz w:val="24"/>
        </w:rPr>
        <w:t>Yıllık Ortalama Kârları</w:t>
      </w:r>
    </w:p>
    <w:p>
      <w:pPr>
        <w:pStyle w:val="BodyText"/>
        <w:rPr>
          <w:i/>
          <w:sz w:val="26"/>
        </w:rPr>
      </w:pPr>
    </w:p>
    <w:p>
      <w:pPr>
        <w:pStyle w:val="BodyText"/>
        <w:spacing w:line="360" w:lineRule="auto" w:before="217"/>
        <w:ind w:left="590" w:right="1417"/>
        <w:jc w:val="both"/>
      </w:pPr>
      <w:hyperlink w:history="true" w:anchor="_bookmark2">
        <w:r>
          <w:rPr>
            <w:color w:val="000009"/>
          </w:rPr>
          <w:t>4</w:t>
        </w:r>
      </w:hyperlink>
      <w:r>
        <w:rPr>
          <w:color w:val="000009"/>
        </w:rPr>
        <w:t> ve </w:t>
      </w:r>
      <w:hyperlink w:history="true" w:anchor="_bookmark3">
        <w:r>
          <w:rPr>
            <w:color w:val="000009"/>
          </w:rPr>
          <w:t>5</w:t>
        </w:r>
      </w:hyperlink>
      <w:r>
        <w:rPr>
          <w:color w:val="000009"/>
        </w:rPr>
        <w:t> numaralı tablolardan görülebileceği üzere opsiyon stratejilerinin eklenmesi başarımı arttıramamıştır. Bu nedenle bir sonraki çalışmada farklı bir opsiyon</w:t>
      </w:r>
      <w:r>
        <w:rPr>
          <w:color w:val="000009"/>
          <w:spacing w:val="-39"/>
        </w:rPr>
        <w:t> </w:t>
      </w:r>
      <w:r>
        <w:rPr>
          <w:color w:val="000009"/>
        </w:rPr>
        <w:t>stratejisi denenmiştir.</w:t>
      </w:r>
    </w:p>
    <w:p>
      <w:pPr>
        <w:spacing w:after="0" w:line="360" w:lineRule="auto"/>
        <w:jc w:val="both"/>
        <w:sectPr>
          <w:pgSz w:w="11910" w:h="16840"/>
          <w:pgMar w:header="0" w:footer="1050" w:top="1580" w:bottom="1240" w:left="1680" w:right="0"/>
        </w:sectPr>
      </w:pPr>
    </w:p>
    <w:tbl>
      <w:tblPr>
        <w:tblW w:w="0" w:type="auto"/>
        <w:jc w:val="left"/>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242"/>
        <w:gridCol w:w="1538"/>
        <w:gridCol w:w="1520"/>
        <w:gridCol w:w="1630"/>
        <w:gridCol w:w="1388"/>
      </w:tblGrid>
      <w:tr>
        <w:trPr>
          <w:trHeight w:val="342" w:hRule="atLeast"/>
        </w:trPr>
        <w:tc>
          <w:tcPr>
            <w:tcW w:w="914" w:type="dxa"/>
            <w:vMerge w:val="restart"/>
          </w:tcPr>
          <w:p>
            <w:pPr>
              <w:pStyle w:val="TableParagraph"/>
              <w:spacing w:before="11"/>
              <w:ind w:right="0"/>
              <w:jc w:val="left"/>
              <w:rPr>
                <w:sz w:val="24"/>
              </w:rPr>
            </w:pPr>
          </w:p>
          <w:p>
            <w:pPr>
              <w:pStyle w:val="TableParagraph"/>
              <w:spacing w:before="0"/>
              <w:ind w:left="231" w:right="0"/>
              <w:jc w:val="left"/>
              <w:rPr>
                <w:b/>
                <w:sz w:val="20"/>
              </w:rPr>
            </w:pPr>
            <w:r>
              <w:rPr>
                <w:b/>
                <w:color w:val="000009"/>
                <w:sz w:val="20"/>
              </w:rPr>
              <w:t>Hisse</w:t>
            </w:r>
          </w:p>
        </w:tc>
        <w:tc>
          <w:tcPr>
            <w:tcW w:w="1242" w:type="dxa"/>
            <w:vMerge w:val="restart"/>
          </w:tcPr>
          <w:p>
            <w:pPr>
              <w:pStyle w:val="TableParagraph"/>
              <w:spacing w:line="242" w:lineRule="auto"/>
              <w:ind w:left="283" w:right="69" w:hanging="180"/>
              <w:jc w:val="left"/>
              <w:rPr>
                <w:b/>
                <w:sz w:val="20"/>
              </w:rPr>
            </w:pPr>
            <w:r>
              <w:rPr>
                <w:b/>
                <w:color w:val="000009"/>
                <w:sz w:val="20"/>
              </w:rPr>
              <w:t>Opsiyonsuz, KD, ZD</w:t>
            </w:r>
          </w:p>
        </w:tc>
        <w:tc>
          <w:tcPr>
            <w:tcW w:w="6076" w:type="dxa"/>
            <w:gridSpan w:val="4"/>
          </w:tcPr>
          <w:p>
            <w:pPr>
              <w:pStyle w:val="TableParagraph"/>
              <w:ind w:left="1912" w:right="0"/>
              <w:jc w:val="left"/>
              <w:rPr>
                <w:b/>
                <w:sz w:val="20"/>
              </w:rPr>
            </w:pPr>
            <w:r>
              <w:rPr>
                <w:b/>
                <w:color w:val="000009"/>
                <w:sz w:val="20"/>
              </w:rPr>
              <w:t>Opsiyon Satın Alındığında</w:t>
            </w:r>
          </w:p>
        </w:tc>
      </w:tr>
      <w:tr>
        <w:trPr>
          <w:trHeight w:val="340" w:hRule="atLeast"/>
        </w:trPr>
        <w:tc>
          <w:tcPr>
            <w:tcW w:w="914" w:type="dxa"/>
            <w:vMerge/>
            <w:tcBorders>
              <w:top w:val="nil"/>
            </w:tcBorders>
          </w:tcPr>
          <w:p>
            <w:pPr>
              <w:rPr>
                <w:sz w:val="2"/>
                <w:szCs w:val="2"/>
              </w:rPr>
            </w:pPr>
          </w:p>
        </w:tc>
        <w:tc>
          <w:tcPr>
            <w:tcW w:w="1242" w:type="dxa"/>
            <w:vMerge/>
            <w:tcBorders>
              <w:top w:val="nil"/>
            </w:tcBorders>
          </w:tcPr>
          <w:p>
            <w:pPr>
              <w:rPr>
                <w:sz w:val="2"/>
                <w:szCs w:val="2"/>
              </w:rPr>
            </w:pPr>
          </w:p>
        </w:tc>
        <w:tc>
          <w:tcPr>
            <w:tcW w:w="1538" w:type="dxa"/>
          </w:tcPr>
          <w:p>
            <w:pPr>
              <w:pStyle w:val="TableParagraph"/>
              <w:spacing w:before="0"/>
              <w:ind w:right="0"/>
              <w:jc w:val="left"/>
              <w:rPr>
                <w:rFonts w:ascii="Times New Roman"/>
                <w:sz w:val="20"/>
              </w:rPr>
            </w:pPr>
          </w:p>
        </w:tc>
        <w:tc>
          <w:tcPr>
            <w:tcW w:w="1520" w:type="dxa"/>
          </w:tcPr>
          <w:p>
            <w:pPr>
              <w:pStyle w:val="TableParagraph"/>
              <w:ind w:left="604" w:right="588"/>
              <w:jc w:val="center"/>
              <w:rPr>
                <w:b/>
                <w:sz w:val="20"/>
              </w:rPr>
            </w:pPr>
            <w:r>
              <w:rPr>
                <w:b/>
                <w:color w:val="000009"/>
                <w:sz w:val="20"/>
              </w:rPr>
              <w:t>ZD</w:t>
            </w:r>
          </w:p>
        </w:tc>
        <w:tc>
          <w:tcPr>
            <w:tcW w:w="1630" w:type="dxa"/>
          </w:tcPr>
          <w:p>
            <w:pPr>
              <w:pStyle w:val="TableParagraph"/>
              <w:ind w:left="648" w:right="632"/>
              <w:jc w:val="center"/>
              <w:rPr>
                <w:b/>
                <w:sz w:val="20"/>
              </w:rPr>
            </w:pPr>
            <w:r>
              <w:rPr>
                <w:b/>
                <w:color w:val="000009"/>
                <w:sz w:val="20"/>
              </w:rPr>
              <w:t>KD</w:t>
            </w:r>
          </w:p>
        </w:tc>
        <w:tc>
          <w:tcPr>
            <w:tcW w:w="1388" w:type="dxa"/>
          </w:tcPr>
          <w:p>
            <w:pPr>
              <w:pStyle w:val="TableParagraph"/>
              <w:ind w:left="357" w:right="0"/>
              <w:jc w:val="left"/>
              <w:rPr>
                <w:b/>
                <w:sz w:val="20"/>
              </w:rPr>
            </w:pPr>
            <w:r>
              <w:rPr>
                <w:b/>
                <w:color w:val="000009"/>
                <w:sz w:val="20"/>
              </w:rPr>
              <w:t>ZD, KD</w:t>
            </w:r>
          </w:p>
        </w:tc>
      </w:tr>
      <w:tr>
        <w:trPr>
          <w:trHeight w:val="342" w:hRule="atLeast"/>
        </w:trPr>
        <w:tc>
          <w:tcPr>
            <w:tcW w:w="914" w:type="dxa"/>
          </w:tcPr>
          <w:p>
            <w:pPr>
              <w:pStyle w:val="TableParagraph"/>
              <w:ind w:left="57" w:right="0"/>
              <w:jc w:val="left"/>
              <w:rPr>
                <w:sz w:val="20"/>
              </w:rPr>
            </w:pPr>
            <w:r>
              <w:rPr>
                <w:color w:val="000009"/>
                <w:sz w:val="20"/>
              </w:rPr>
              <w:t>AXP</w:t>
            </w:r>
          </w:p>
        </w:tc>
        <w:tc>
          <w:tcPr>
            <w:tcW w:w="1242" w:type="dxa"/>
          </w:tcPr>
          <w:p>
            <w:pPr>
              <w:pStyle w:val="TableParagraph"/>
              <w:rPr>
                <w:sz w:val="20"/>
              </w:rPr>
            </w:pPr>
            <w:r>
              <w:rPr>
                <w:color w:val="000009"/>
                <w:sz w:val="20"/>
              </w:rPr>
              <w:t>39.55%</w:t>
            </w:r>
          </w:p>
        </w:tc>
        <w:tc>
          <w:tcPr>
            <w:tcW w:w="1538" w:type="dxa"/>
          </w:tcPr>
          <w:p>
            <w:pPr>
              <w:pStyle w:val="TableParagraph"/>
              <w:rPr>
                <w:sz w:val="20"/>
              </w:rPr>
            </w:pPr>
            <w:r>
              <w:rPr>
                <w:color w:val="000009"/>
                <w:sz w:val="20"/>
              </w:rPr>
              <w:t>12.73%</w:t>
            </w:r>
          </w:p>
        </w:tc>
        <w:tc>
          <w:tcPr>
            <w:tcW w:w="1520" w:type="dxa"/>
          </w:tcPr>
          <w:p>
            <w:pPr>
              <w:pStyle w:val="TableParagraph"/>
              <w:ind w:right="41"/>
              <w:rPr>
                <w:sz w:val="20"/>
              </w:rPr>
            </w:pPr>
            <w:r>
              <w:rPr>
                <w:color w:val="000009"/>
                <w:sz w:val="20"/>
              </w:rPr>
              <w:t>2.67%</w:t>
            </w:r>
          </w:p>
        </w:tc>
        <w:tc>
          <w:tcPr>
            <w:tcW w:w="1630" w:type="dxa"/>
          </w:tcPr>
          <w:p>
            <w:pPr>
              <w:pStyle w:val="TableParagraph"/>
              <w:rPr>
                <w:sz w:val="20"/>
              </w:rPr>
            </w:pPr>
            <w:r>
              <w:rPr>
                <w:color w:val="000009"/>
                <w:sz w:val="20"/>
              </w:rPr>
              <w:t>5.03%</w:t>
            </w:r>
          </w:p>
        </w:tc>
        <w:tc>
          <w:tcPr>
            <w:tcW w:w="1388" w:type="dxa"/>
          </w:tcPr>
          <w:p>
            <w:pPr>
              <w:pStyle w:val="TableParagraph"/>
              <w:ind w:right="41"/>
              <w:rPr>
                <w:sz w:val="20"/>
              </w:rPr>
            </w:pPr>
            <w:r>
              <w:rPr>
                <w:color w:val="000009"/>
                <w:sz w:val="20"/>
              </w:rPr>
              <w:t>2.87%</w:t>
            </w:r>
          </w:p>
        </w:tc>
      </w:tr>
      <w:tr>
        <w:trPr>
          <w:trHeight w:val="340" w:hRule="atLeast"/>
        </w:trPr>
        <w:tc>
          <w:tcPr>
            <w:tcW w:w="914" w:type="dxa"/>
          </w:tcPr>
          <w:p>
            <w:pPr>
              <w:pStyle w:val="TableParagraph"/>
              <w:ind w:left="57" w:right="0"/>
              <w:jc w:val="left"/>
              <w:rPr>
                <w:sz w:val="20"/>
              </w:rPr>
            </w:pPr>
            <w:r>
              <w:rPr>
                <w:color w:val="000009"/>
                <w:sz w:val="20"/>
              </w:rPr>
              <w:t>BA</w:t>
            </w:r>
          </w:p>
        </w:tc>
        <w:tc>
          <w:tcPr>
            <w:tcW w:w="1242" w:type="dxa"/>
          </w:tcPr>
          <w:p>
            <w:pPr>
              <w:pStyle w:val="TableParagraph"/>
              <w:rPr>
                <w:sz w:val="20"/>
              </w:rPr>
            </w:pPr>
            <w:r>
              <w:rPr>
                <w:color w:val="000009"/>
                <w:sz w:val="20"/>
              </w:rPr>
              <w:t>1.76%</w:t>
            </w:r>
          </w:p>
        </w:tc>
        <w:tc>
          <w:tcPr>
            <w:tcW w:w="1538" w:type="dxa"/>
          </w:tcPr>
          <w:p>
            <w:pPr>
              <w:pStyle w:val="TableParagraph"/>
              <w:rPr>
                <w:sz w:val="20"/>
              </w:rPr>
            </w:pPr>
            <w:r>
              <w:rPr>
                <w:color w:val="000009"/>
                <w:sz w:val="20"/>
              </w:rPr>
              <w:t>-17.08%</w:t>
            </w:r>
          </w:p>
        </w:tc>
        <w:tc>
          <w:tcPr>
            <w:tcW w:w="1520" w:type="dxa"/>
          </w:tcPr>
          <w:p>
            <w:pPr>
              <w:pStyle w:val="TableParagraph"/>
              <w:rPr>
                <w:sz w:val="20"/>
              </w:rPr>
            </w:pPr>
            <w:r>
              <w:rPr>
                <w:color w:val="000009"/>
                <w:sz w:val="20"/>
              </w:rPr>
              <w:t>-15.68%</w:t>
            </w:r>
          </w:p>
        </w:tc>
        <w:tc>
          <w:tcPr>
            <w:tcW w:w="1630" w:type="dxa"/>
          </w:tcPr>
          <w:p>
            <w:pPr>
              <w:pStyle w:val="TableParagraph"/>
              <w:rPr>
                <w:sz w:val="20"/>
              </w:rPr>
            </w:pPr>
            <w:r>
              <w:rPr>
                <w:color w:val="000009"/>
                <w:sz w:val="20"/>
              </w:rPr>
              <w:t>-13.73%</w:t>
            </w:r>
          </w:p>
        </w:tc>
        <w:tc>
          <w:tcPr>
            <w:tcW w:w="1388" w:type="dxa"/>
          </w:tcPr>
          <w:p>
            <w:pPr>
              <w:pStyle w:val="TableParagraph"/>
              <w:rPr>
                <w:sz w:val="20"/>
              </w:rPr>
            </w:pPr>
            <w:r>
              <w:rPr>
                <w:color w:val="000009"/>
                <w:sz w:val="20"/>
              </w:rPr>
              <w:t>-4.51%</w:t>
            </w:r>
          </w:p>
        </w:tc>
      </w:tr>
      <w:tr>
        <w:trPr>
          <w:trHeight w:val="342" w:hRule="atLeast"/>
        </w:trPr>
        <w:tc>
          <w:tcPr>
            <w:tcW w:w="914" w:type="dxa"/>
          </w:tcPr>
          <w:p>
            <w:pPr>
              <w:pStyle w:val="TableParagraph"/>
              <w:ind w:left="57" w:right="0"/>
              <w:jc w:val="left"/>
              <w:rPr>
                <w:sz w:val="20"/>
              </w:rPr>
            </w:pPr>
            <w:r>
              <w:rPr>
                <w:color w:val="000009"/>
                <w:sz w:val="20"/>
              </w:rPr>
              <w:t>CAT</w:t>
            </w:r>
          </w:p>
        </w:tc>
        <w:tc>
          <w:tcPr>
            <w:tcW w:w="1242" w:type="dxa"/>
          </w:tcPr>
          <w:p>
            <w:pPr>
              <w:pStyle w:val="TableParagraph"/>
              <w:rPr>
                <w:sz w:val="20"/>
              </w:rPr>
            </w:pPr>
            <w:r>
              <w:rPr>
                <w:color w:val="000009"/>
                <w:sz w:val="20"/>
              </w:rPr>
              <w:t>-20.66%</w:t>
            </w:r>
          </w:p>
        </w:tc>
        <w:tc>
          <w:tcPr>
            <w:tcW w:w="1538" w:type="dxa"/>
          </w:tcPr>
          <w:p>
            <w:pPr>
              <w:pStyle w:val="TableParagraph"/>
              <w:rPr>
                <w:sz w:val="20"/>
              </w:rPr>
            </w:pPr>
            <w:r>
              <w:rPr>
                <w:color w:val="000009"/>
                <w:sz w:val="20"/>
              </w:rPr>
              <w:t>-34.39%</w:t>
            </w:r>
          </w:p>
        </w:tc>
        <w:tc>
          <w:tcPr>
            <w:tcW w:w="1520" w:type="dxa"/>
          </w:tcPr>
          <w:p>
            <w:pPr>
              <w:pStyle w:val="TableParagraph"/>
              <w:rPr>
                <w:sz w:val="20"/>
              </w:rPr>
            </w:pPr>
            <w:r>
              <w:rPr>
                <w:color w:val="000009"/>
                <w:sz w:val="20"/>
              </w:rPr>
              <w:t>-23.48%</w:t>
            </w:r>
          </w:p>
        </w:tc>
        <w:tc>
          <w:tcPr>
            <w:tcW w:w="1630" w:type="dxa"/>
          </w:tcPr>
          <w:p>
            <w:pPr>
              <w:pStyle w:val="TableParagraph"/>
              <w:rPr>
                <w:sz w:val="20"/>
              </w:rPr>
            </w:pPr>
            <w:r>
              <w:rPr>
                <w:color w:val="000009"/>
                <w:sz w:val="20"/>
              </w:rPr>
              <w:t>-26.67%</w:t>
            </w:r>
          </w:p>
        </w:tc>
        <w:tc>
          <w:tcPr>
            <w:tcW w:w="1388" w:type="dxa"/>
          </w:tcPr>
          <w:p>
            <w:pPr>
              <w:pStyle w:val="TableParagraph"/>
              <w:rPr>
                <w:sz w:val="20"/>
              </w:rPr>
            </w:pPr>
            <w:r>
              <w:rPr>
                <w:color w:val="000009"/>
                <w:sz w:val="20"/>
              </w:rPr>
              <w:t>-30.25%</w:t>
            </w:r>
          </w:p>
        </w:tc>
      </w:tr>
      <w:tr>
        <w:trPr>
          <w:trHeight w:val="340" w:hRule="atLeast"/>
        </w:trPr>
        <w:tc>
          <w:tcPr>
            <w:tcW w:w="914" w:type="dxa"/>
          </w:tcPr>
          <w:p>
            <w:pPr>
              <w:pStyle w:val="TableParagraph"/>
              <w:ind w:left="57" w:right="0"/>
              <w:jc w:val="left"/>
              <w:rPr>
                <w:sz w:val="20"/>
              </w:rPr>
            </w:pPr>
            <w:r>
              <w:rPr>
                <w:color w:val="000009"/>
                <w:sz w:val="20"/>
              </w:rPr>
              <w:t>CSCO</w:t>
            </w:r>
          </w:p>
        </w:tc>
        <w:tc>
          <w:tcPr>
            <w:tcW w:w="1242" w:type="dxa"/>
          </w:tcPr>
          <w:p>
            <w:pPr>
              <w:pStyle w:val="TableParagraph"/>
              <w:rPr>
                <w:sz w:val="20"/>
              </w:rPr>
            </w:pPr>
            <w:r>
              <w:rPr>
                <w:color w:val="000009"/>
                <w:sz w:val="20"/>
              </w:rPr>
              <w:t>42.27%</w:t>
            </w:r>
          </w:p>
        </w:tc>
        <w:tc>
          <w:tcPr>
            <w:tcW w:w="1538" w:type="dxa"/>
          </w:tcPr>
          <w:p>
            <w:pPr>
              <w:pStyle w:val="TableParagraph"/>
              <w:rPr>
                <w:sz w:val="20"/>
              </w:rPr>
            </w:pPr>
            <w:r>
              <w:rPr>
                <w:color w:val="000009"/>
                <w:sz w:val="20"/>
              </w:rPr>
              <w:t>20.13%</w:t>
            </w:r>
          </w:p>
        </w:tc>
        <w:tc>
          <w:tcPr>
            <w:tcW w:w="1520" w:type="dxa"/>
          </w:tcPr>
          <w:p>
            <w:pPr>
              <w:pStyle w:val="TableParagraph"/>
              <w:rPr>
                <w:sz w:val="20"/>
              </w:rPr>
            </w:pPr>
            <w:r>
              <w:rPr>
                <w:color w:val="000009"/>
                <w:sz w:val="20"/>
              </w:rPr>
              <w:t>-8.02%</w:t>
            </w:r>
          </w:p>
        </w:tc>
        <w:tc>
          <w:tcPr>
            <w:tcW w:w="1630" w:type="dxa"/>
          </w:tcPr>
          <w:p>
            <w:pPr>
              <w:pStyle w:val="TableParagraph"/>
              <w:rPr>
                <w:sz w:val="20"/>
              </w:rPr>
            </w:pPr>
            <w:r>
              <w:rPr>
                <w:color w:val="000009"/>
                <w:sz w:val="20"/>
              </w:rPr>
              <w:t>26.38%</w:t>
            </w:r>
          </w:p>
        </w:tc>
        <w:tc>
          <w:tcPr>
            <w:tcW w:w="1388" w:type="dxa"/>
          </w:tcPr>
          <w:p>
            <w:pPr>
              <w:pStyle w:val="TableParagraph"/>
              <w:ind w:right="41"/>
              <w:rPr>
                <w:sz w:val="20"/>
              </w:rPr>
            </w:pPr>
            <w:r>
              <w:rPr>
                <w:color w:val="000009"/>
                <w:sz w:val="20"/>
              </w:rPr>
              <w:t>5.49%</w:t>
            </w:r>
          </w:p>
        </w:tc>
      </w:tr>
      <w:tr>
        <w:trPr>
          <w:trHeight w:val="342" w:hRule="atLeast"/>
        </w:trPr>
        <w:tc>
          <w:tcPr>
            <w:tcW w:w="914" w:type="dxa"/>
          </w:tcPr>
          <w:p>
            <w:pPr>
              <w:pStyle w:val="TableParagraph"/>
              <w:ind w:left="57" w:right="0"/>
              <w:jc w:val="left"/>
              <w:rPr>
                <w:sz w:val="20"/>
              </w:rPr>
            </w:pPr>
            <w:r>
              <w:rPr>
                <w:color w:val="000009"/>
                <w:sz w:val="20"/>
              </w:rPr>
              <w:t>DIS</w:t>
            </w:r>
          </w:p>
        </w:tc>
        <w:tc>
          <w:tcPr>
            <w:tcW w:w="1242" w:type="dxa"/>
          </w:tcPr>
          <w:p>
            <w:pPr>
              <w:pStyle w:val="TableParagraph"/>
              <w:rPr>
                <w:sz w:val="20"/>
              </w:rPr>
            </w:pPr>
            <w:r>
              <w:rPr>
                <w:color w:val="000009"/>
                <w:sz w:val="20"/>
              </w:rPr>
              <w:t>7.38%</w:t>
            </w:r>
          </w:p>
        </w:tc>
        <w:tc>
          <w:tcPr>
            <w:tcW w:w="1538" w:type="dxa"/>
          </w:tcPr>
          <w:p>
            <w:pPr>
              <w:pStyle w:val="TableParagraph"/>
              <w:rPr>
                <w:sz w:val="20"/>
              </w:rPr>
            </w:pPr>
            <w:r>
              <w:rPr>
                <w:color w:val="000009"/>
                <w:sz w:val="20"/>
              </w:rPr>
              <w:t>-1.97%</w:t>
            </w:r>
          </w:p>
        </w:tc>
        <w:tc>
          <w:tcPr>
            <w:tcW w:w="1520" w:type="dxa"/>
          </w:tcPr>
          <w:p>
            <w:pPr>
              <w:pStyle w:val="TableParagraph"/>
              <w:ind w:right="41"/>
              <w:rPr>
                <w:sz w:val="20"/>
              </w:rPr>
            </w:pPr>
            <w:r>
              <w:rPr>
                <w:color w:val="000009"/>
                <w:sz w:val="20"/>
              </w:rPr>
              <w:t>17.79%</w:t>
            </w:r>
          </w:p>
        </w:tc>
        <w:tc>
          <w:tcPr>
            <w:tcW w:w="1630" w:type="dxa"/>
          </w:tcPr>
          <w:p>
            <w:pPr>
              <w:pStyle w:val="TableParagraph"/>
              <w:rPr>
                <w:sz w:val="20"/>
              </w:rPr>
            </w:pPr>
            <w:r>
              <w:rPr>
                <w:color w:val="000009"/>
                <w:sz w:val="20"/>
              </w:rPr>
              <w:t>8.64%</w:t>
            </w:r>
          </w:p>
        </w:tc>
        <w:tc>
          <w:tcPr>
            <w:tcW w:w="1388" w:type="dxa"/>
          </w:tcPr>
          <w:p>
            <w:pPr>
              <w:pStyle w:val="TableParagraph"/>
              <w:ind w:right="41"/>
              <w:rPr>
                <w:sz w:val="20"/>
              </w:rPr>
            </w:pPr>
            <w:r>
              <w:rPr>
                <w:color w:val="000009"/>
                <w:sz w:val="20"/>
              </w:rPr>
              <w:t>13.52%</w:t>
            </w:r>
          </w:p>
        </w:tc>
      </w:tr>
      <w:tr>
        <w:trPr>
          <w:trHeight w:val="340" w:hRule="atLeast"/>
        </w:trPr>
        <w:tc>
          <w:tcPr>
            <w:tcW w:w="914" w:type="dxa"/>
          </w:tcPr>
          <w:p>
            <w:pPr>
              <w:pStyle w:val="TableParagraph"/>
              <w:ind w:left="57" w:right="0"/>
              <w:jc w:val="left"/>
              <w:rPr>
                <w:sz w:val="20"/>
              </w:rPr>
            </w:pPr>
            <w:r>
              <w:rPr>
                <w:color w:val="000009"/>
                <w:sz w:val="20"/>
              </w:rPr>
              <w:t>GE</w:t>
            </w:r>
          </w:p>
        </w:tc>
        <w:tc>
          <w:tcPr>
            <w:tcW w:w="1242" w:type="dxa"/>
          </w:tcPr>
          <w:p>
            <w:pPr>
              <w:pStyle w:val="TableParagraph"/>
              <w:rPr>
                <w:sz w:val="20"/>
              </w:rPr>
            </w:pPr>
            <w:r>
              <w:rPr>
                <w:color w:val="000009"/>
                <w:sz w:val="20"/>
              </w:rPr>
              <w:t>4.34%</w:t>
            </w:r>
          </w:p>
        </w:tc>
        <w:tc>
          <w:tcPr>
            <w:tcW w:w="1538" w:type="dxa"/>
          </w:tcPr>
          <w:p>
            <w:pPr>
              <w:pStyle w:val="TableParagraph"/>
              <w:rPr>
                <w:sz w:val="20"/>
              </w:rPr>
            </w:pPr>
            <w:r>
              <w:rPr>
                <w:color w:val="000009"/>
                <w:sz w:val="20"/>
              </w:rPr>
              <w:t>15.53%</w:t>
            </w:r>
          </w:p>
        </w:tc>
        <w:tc>
          <w:tcPr>
            <w:tcW w:w="1520" w:type="dxa"/>
          </w:tcPr>
          <w:p>
            <w:pPr>
              <w:pStyle w:val="TableParagraph"/>
              <w:ind w:right="41"/>
              <w:rPr>
                <w:sz w:val="20"/>
              </w:rPr>
            </w:pPr>
            <w:r>
              <w:rPr>
                <w:color w:val="000009"/>
                <w:sz w:val="20"/>
              </w:rPr>
              <w:t>6.23%</w:t>
            </w:r>
          </w:p>
        </w:tc>
        <w:tc>
          <w:tcPr>
            <w:tcW w:w="1630" w:type="dxa"/>
          </w:tcPr>
          <w:p>
            <w:pPr>
              <w:pStyle w:val="TableParagraph"/>
              <w:rPr>
                <w:sz w:val="20"/>
              </w:rPr>
            </w:pPr>
            <w:r>
              <w:rPr>
                <w:color w:val="000009"/>
                <w:sz w:val="20"/>
              </w:rPr>
              <w:t>3.53%</w:t>
            </w:r>
          </w:p>
        </w:tc>
        <w:tc>
          <w:tcPr>
            <w:tcW w:w="1388" w:type="dxa"/>
          </w:tcPr>
          <w:p>
            <w:pPr>
              <w:pStyle w:val="TableParagraph"/>
              <w:ind w:right="41"/>
              <w:rPr>
                <w:sz w:val="20"/>
              </w:rPr>
            </w:pPr>
            <w:r>
              <w:rPr>
                <w:color w:val="000009"/>
                <w:sz w:val="20"/>
              </w:rPr>
              <w:t>11.19%</w:t>
            </w:r>
          </w:p>
        </w:tc>
      </w:tr>
      <w:tr>
        <w:trPr>
          <w:trHeight w:val="341" w:hRule="atLeast"/>
        </w:trPr>
        <w:tc>
          <w:tcPr>
            <w:tcW w:w="914" w:type="dxa"/>
          </w:tcPr>
          <w:p>
            <w:pPr>
              <w:pStyle w:val="TableParagraph"/>
              <w:ind w:left="57" w:right="0"/>
              <w:jc w:val="left"/>
              <w:rPr>
                <w:sz w:val="20"/>
              </w:rPr>
            </w:pPr>
            <w:r>
              <w:rPr>
                <w:color w:val="000009"/>
                <w:sz w:val="20"/>
              </w:rPr>
              <w:t>GS</w:t>
            </w:r>
          </w:p>
        </w:tc>
        <w:tc>
          <w:tcPr>
            <w:tcW w:w="1242" w:type="dxa"/>
          </w:tcPr>
          <w:p>
            <w:pPr>
              <w:pStyle w:val="TableParagraph"/>
              <w:rPr>
                <w:sz w:val="20"/>
              </w:rPr>
            </w:pPr>
            <w:r>
              <w:rPr>
                <w:color w:val="000009"/>
                <w:sz w:val="20"/>
              </w:rPr>
              <w:t>14.46%</w:t>
            </w:r>
          </w:p>
        </w:tc>
        <w:tc>
          <w:tcPr>
            <w:tcW w:w="1538" w:type="dxa"/>
          </w:tcPr>
          <w:p>
            <w:pPr>
              <w:pStyle w:val="TableParagraph"/>
              <w:rPr>
                <w:sz w:val="20"/>
              </w:rPr>
            </w:pPr>
            <w:r>
              <w:rPr>
                <w:color w:val="000009"/>
                <w:sz w:val="20"/>
              </w:rPr>
              <w:t>14.52%</w:t>
            </w:r>
          </w:p>
        </w:tc>
        <w:tc>
          <w:tcPr>
            <w:tcW w:w="1520" w:type="dxa"/>
          </w:tcPr>
          <w:p>
            <w:pPr>
              <w:pStyle w:val="TableParagraph"/>
              <w:ind w:right="41"/>
              <w:rPr>
                <w:sz w:val="20"/>
              </w:rPr>
            </w:pPr>
            <w:r>
              <w:rPr>
                <w:color w:val="000009"/>
                <w:sz w:val="20"/>
              </w:rPr>
              <w:t>17.11%</w:t>
            </w:r>
          </w:p>
        </w:tc>
        <w:tc>
          <w:tcPr>
            <w:tcW w:w="1630" w:type="dxa"/>
          </w:tcPr>
          <w:p>
            <w:pPr>
              <w:pStyle w:val="TableParagraph"/>
              <w:rPr>
                <w:sz w:val="20"/>
              </w:rPr>
            </w:pPr>
            <w:r>
              <w:rPr>
                <w:color w:val="000009"/>
                <w:sz w:val="20"/>
              </w:rPr>
              <w:t>3.78%</w:t>
            </w:r>
          </w:p>
        </w:tc>
        <w:tc>
          <w:tcPr>
            <w:tcW w:w="1388" w:type="dxa"/>
          </w:tcPr>
          <w:p>
            <w:pPr>
              <w:pStyle w:val="TableParagraph"/>
              <w:ind w:right="41"/>
              <w:rPr>
                <w:sz w:val="20"/>
              </w:rPr>
            </w:pPr>
            <w:r>
              <w:rPr>
                <w:color w:val="000009"/>
                <w:sz w:val="20"/>
              </w:rPr>
              <w:t>14.32%</w:t>
            </w:r>
          </w:p>
        </w:tc>
      </w:tr>
      <w:tr>
        <w:trPr>
          <w:trHeight w:val="340" w:hRule="atLeast"/>
        </w:trPr>
        <w:tc>
          <w:tcPr>
            <w:tcW w:w="914" w:type="dxa"/>
          </w:tcPr>
          <w:p>
            <w:pPr>
              <w:pStyle w:val="TableParagraph"/>
              <w:ind w:left="57" w:right="0"/>
              <w:jc w:val="left"/>
              <w:rPr>
                <w:sz w:val="20"/>
              </w:rPr>
            </w:pPr>
            <w:r>
              <w:rPr>
                <w:color w:val="000009"/>
                <w:sz w:val="20"/>
              </w:rPr>
              <w:t>HD</w:t>
            </w:r>
          </w:p>
        </w:tc>
        <w:tc>
          <w:tcPr>
            <w:tcW w:w="1242" w:type="dxa"/>
          </w:tcPr>
          <w:p>
            <w:pPr>
              <w:pStyle w:val="TableParagraph"/>
              <w:rPr>
                <w:sz w:val="20"/>
              </w:rPr>
            </w:pPr>
            <w:r>
              <w:rPr>
                <w:color w:val="000009"/>
                <w:sz w:val="20"/>
              </w:rPr>
              <w:t>0.64%</w:t>
            </w:r>
          </w:p>
        </w:tc>
        <w:tc>
          <w:tcPr>
            <w:tcW w:w="1538" w:type="dxa"/>
          </w:tcPr>
          <w:p>
            <w:pPr>
              <w:pStyle w:val="TableParagraph"/>
              <w:rPr>
                <w:sz w:val="20"/>
              </w:rPr>
            </w:pPr>
            <w:r>
              <w:rPr>
                <w:color w:val="000009"/>
                <w:sz w:val="20"/>
              </w:rPr>
              <w:t>-1.30%</w:t>
            </w:r>
          </w:p>
        </w:tc>
        <w:tc>
          <w:tcPr>
            <w:tcW w:w="1520" w:type="dxa"/>
          </w:tcPr>
          <w:p>
            <w:pPr>
              <w:pStyle w:val="TableParagraph"/>
              <w:ind w:right="41"/>
              <w:rPr>
                <w:sz w:val="20"/>
              </w:rPr>
            </w:pPr>
            <w:r>
              <w:rPr>
                <w:color w:val="000009"/>
                <w:sz w:val="20"/>
              </w:rPr>
              <w:t>18.88%</w:t>
            </w:r>
          </w:p>
        </w:tc>
        <w:tc>
          <w:tcPr>
            <w:tcW w:w="1630" w:type="dxa"/>
          </w:tcPr>
          <w:p>
            <w:pPr>
              <w:pStyle w:val="TableParagraph"/>
              <w:rPr>
                <w:sz w:val="20"/>
              </w:rPr>
            </w:pPr>
            <w:r>
              <w:rPr>
                <w:color w:val="000009"/>
                <w:sz w:val="20"/>
              </w:rPr>
              <w:t>-18.98%</w:t>
            </w:r>
          </w:p>
        </w:tc>
        <w:tc>
          <w:tcPr>
            <w:tcW w:w="1388" w:type="dxa"/>
          </w:tcPr>
          <w:p>
            <w:pPr>
              <w:pStyle w:val="TableParagraph"/>
              <w:ind w:right="41"/>
              <w:rPr>
                <w:sz w:val="20"/>
              </w:rPr>
            </w:pPr>
            <w:r>
              <w:rPr>
                <w:color w:val="000009"/>
                <w:sz w:val="20"/>
              </w:rPr>
              <w:t>16.82%</w:t>
            </w:r>
          </w:p>
        </w:tc>
      </w:tr>
      <w:tr>
        <w:trPr>
          <w:trHeight w:val="342" w:hRule="atLeast"/>
        </w:trPr>
        <w:tc>
          <w:tcPr>
            <w:tcW w:w="914" w:type="dxa"/>
          </w:tcPr>
          <w:p>
            <w:pPr>
              <w:pStyle w:val="TableParagraph"/>
              <w:ind w:left="57" w:right="0"/>
              <w:jc w:val="left"/>
              <w:rPr>
                <w:sz w:val="20"/>
              </w:rPr>
            </w:pPr>
            <w:r>
              <w:rPr>
                <w:color w:val="000009"/>
                <w:sz w:val="20"/>
              </w:rPr>
              <w:t>IBM</w:t>
            </w:r>
          </w:p>
        </w:tc>
        <w:tc>
          <w:tcPr>
            <w:tcW w:w="1242" w:type="dxa"/>
          </w:tcPr>
          <w:p>
            <w:pPr>
              <w:pStyle w:val="TableParagraph"/>
              <w:rPr>
                <w:sz w:val="20"/>
              </w:rPr>
            </w:pPr>
            <w:r>
              <w:rPr>
                <w:color w:val="000009"/>
                <w:sz w:val="20"/>
              </w:rPr>
              <w:t>0.21%</w:t>
            </w:r>
          </w:p>
        </w:tc>
        <w:tc>
          <w:tcPr>
            <w:tcW w:w="1538" w:type="dxa"/>
          </w:tcPr>
          <w:p>
            <w:pPr>
              <w:pStyle w:val="TableParagraph"/>
              <w:rPr>
                <w:sz w:val="20"/>
              </w:rPr>
            </w:pPr>
            <w:r>
              <w:rPr>
                <w:color w:val="000009"/>
                <w:sz w:val="20"/>
              </w:rPr>
              <w:t>3.81%</w:t>
            </w:r>
          </w:p>
        </w:tc>
        <w:tc>
          <w:tcPr>
            <w:tcW w:w="1520" w:type="dxa"/>
          </w:tcPr>
          <w:p>
            <w:pPr>
              <w:pStyle w:val="TableParagraph"/>
              <w:rPr>
                <w:sz w:val="20"/>
              </w:rPr>
            </w:pPr>
            <w:r>
              <w:rPr>
                <w:color w:val="000009"/>
                <w:sz w:val="20"/>
              </w:rPr>
              <w:t>-2.61%</w:t>
            </w:r>
          </w:p>
        </w:tc>
        <w:tc>
          <w:tcPr>
            <w:tcW w:w="1630" w:type="dxa"/>
          </w:tcPr>
          <w:p>
            <w:pPr>
              <w:pStyle w:val="TableParagraph"/>
              <w:rPr>
                <w:sz w:val="20"/>
              </w:rPr>
            </w:pPr>
            <w:r>
              <w:rPr>
                <w:color w:val="000009"/>
                <w:sz w:val="20"/>
              </w:rPr>
              <w:t>4.69%</w:t>
            </w:r>
          </w:p>
        </w:tc>
        <w:tc>
          <w:tcPr>
            <w:tcW w:w="1388" w:type="dxa"/>
          </w:tcPr>
          <w:p>
            <w:pPr>
              <w:pStyle w:val="TableParagraph"/>
              <w:ind w:right="41"/>
              <w:rPr>
                <w:sz w:val="20"/>
              </w:rPr>
            </w:pPr>
            <w:r>
              <w:rPr>
                <w:color w:val="000009"/>
                <w:sz w:val="20"/>
              </w:rPr>
              <w:t>7.98%</w:t>
            </w:r>
          </w:p>
        </w:tc>
      </w:tr>
      <w:tr>
        <w:trPr>
          <w:trHeight w:val="340" w:hRule="atLeast"/>
        </w:trPr>
        <w:tc>
          <w:tcPr>
            <w:tcW w:w="914" w:type="dxa"/>
          </w:tcPr>
          <w:p>
            <w:pPr>
              <w:pStyle w:val="TableParagraph"/>
              <w:ind w:left="57" w:right="0"/>
              <w:jc w:val="left"/>
              <w:rPr>
                <w:sz w:val="20"/>
              </w:rPr>
            </w:pPr>
            <w:r>
              <w:rPr>
                <w:color w:val="000009"/>
                <w:sz w:val="20"/>
              </w:rPr>
              <w:t>INTC</w:t>
            </w:r>
          </w:p>
        </w:tc>
        <w:tc>
          <w:tcPr>
            <w:tcW w:w="1242" w:type="dxa"/>
          </w:tcPr>
          <w:p>
            <w:pPr>
              <w:pStyle w:val="TableParagraph"/>
              <w:rPr>
                <w:sz w:val="20"/>
              </w:rPr>
            </w:pPr>
            <w:r>
              <w:rPr>
                <w:color w:val="000009"/>
                <w:sz w:val="20"/>
              </w:rPr>
              <w:t>11.35%</w:t>
            </w:r>
          </w:p>
        </w:tc>
        <w:tc>
          <w:tcPr>
            <w:tcW w:w="1538" w:type="dxa"/>
          </w:tcPr>
          <w:p>
            <w:pPr>
              <w:pStyle w:val="TableParagraph"/>
              <w:rPr>
                <w:sz w:val="20"/>
              </w:rPr>
            </w:pPr>
            <w:r>
              <w:rPr>
                <w:color w:val="000009"/>
                <w:sz w:val="20"/>
              </w:rPr>
              <w:t>8.78%</w:t>
            </w:r>
          </w:p>
        </w:tc>
        <w:tc>
          <w:tcPr>
            <w:tcW w:w="1520" w:type="dxa"/>
          </w:tcPr>
          <w:p>
            <w:pPr>
              <w:pStyle w:val="TableParagraph"/>
              <w:rPr>
                <w:sz w:val="20"/>
              </w:rPr>
            </w:pPr>
            <w:r>
              <w:rPr>
                <w:color w:val="000009"/>
                <w:sz w:val="20"/>
              </w:rPr>
              <w:t>-8.38%</w:t>
            </w:r>
          </w:p>
        </w:tc>
        <w:tc>
          <w:tcPr>
            <w:tcW w:w="1630" w:type="dxa"/>
          </w:tcPr>
          <w:p>
            <w:pPr>
              <w:pStyle w:val="TableParagraph"/>
              <w:rPr>
                <w:sz w:val="20"/>
              </w:rPr>
            </w:pPr>
            <w:r>
              <w:rPr>
                <w:color w:val="000009"/>
                <w:sz w:val="20"/>
              </w:rPr>
              <w:t>12.87%</w:t>
            </w:r>
          </w:p>
        </w:tc>
        <w:tc>
          <w:tcPr>
            <w:tcW w:w="1388" w:type="dxa"/>
          </w:tcPr>
          <w:p>
            <w:pPr>
              <w:pStyle w:val="TableParagraph"/>
              <w:ind w:right="41"/>
              <w:rPr>
                <w:sz w:val="20"/>
              </w:rPr>
            </w:pPr>
            <w:r>
              <w:rPr>
                <w:color w:val="000009"/>
                <w:sz w:val="20"/>
              </w:rPr>
              <w:t>6.82%</w:t>
            </w:r>
          </w:p>
        </w:tc>
      </w:tr>
      <w:tr>
        <w:trPr>
          <w:trHeight w:val="342" w:hRule="atLeast"/>
        </w:trPr>
        <w:tc>
          <w:tcPr>
            <w:tcW w:w="914" w:type="dxa"/>
          </w:tcPr>
          <w:p>
            <w:pPr>
              <w:pStyle w:val="TableParagraph"/>
              <w:ind w:left="57" w:right="0"/>
              <w:jc w:val="left"/>
              <w:rPr>
                <w:sz w:val="20"/>
              </w:rPr>
            </w:pPr>
            <w:r>
              <w:rPr>
                <w:color w:val="000009"/>
                <w:sz w:val="20"/>
              </w:rPr>
              <w:t>JNJ</w:t>
            </w:r>
          </w:p>
        </w:tc>
        <w:tc>
          <w:tcPr>
            <w:tcW w:w="1242" w:type="dxa"/>
          </w:tcPr>
          <w:p>
            <w:pPr>
              <w:pStyle w:val="TableParagraph"/>
              <w:rPr>
                <w:sz w:val="20"/>
              </w:rPr>
            </w:pPr>
            <w:r>
              <w:rPr>
                <w:color w:val="000009"/>
                <w:sz w:val="20"/>
              </w:rPr>
              <w:t>5.70%</w:t>
            </w:r>
          </w:p>
        </w:tc>
        <w:tc>
          <w:tcPr>
            <w:tcW w:w="1538" w:type="dxa"/>
          </w:tcPr>
          <w:p>
            <w:pPr>
              <w:pStyle w:val="TableParagraph"/>
              <w:rPr>
                <w:sz w:val="20"/>
              </w:rPr>
            </w:pPr>
            <w:r>
              <w:rPr>
                <w:color w:val="000009"/>
                <w:sz w:val="20"/>
              </w:rPr>
              <w:t>-9.70%</w:t>
            </w:r>
          </w:p>
        </w:tc>
        <w:tc>
          <w:tcPr>
            <w:tcW w:w="1520" w:type="dxa"/>
          </w:tcPr>
          <w:p>
            <w:pPr>
              <w:pStyle w:val="TableParagraph"/>
              <w:rPr>
                <w:sz w:val="20"/>
              </w:rPr>
            </w:pPr>
            <w:r>
              <w:rPr>
                <w:color w:val="000009"/>
                <w:sz w:val="20"/>
              </w:rPr>
              <w:t>-8.35%</w:t>
            </w:r>
          </w:p>
        </w:tc>
        <w:tc>
          <w:tcPr>
            <w:tcW w:w="1630" w:type="dxa"/>
          </w:tcPr>
          <w:p>
            <w:pPr>
              <w:pStyle w:val="TableParagraph"/>
              <w:rPr>
                <w:sz w:val="20"/>
              </w:rPr>
            </w:pPr>
            <w:r>
              <w:rPr>
                <w:color w:val="000009"/>
                <w:sz w:val="20"/>
              </w:rPr>
              <w:t>0.12%</w:t>
            </w:r>
          </w:p>
        </w:tc>
        <w:tc>
          <w:tcPr>
            <w:tcW w:w="1388" w:type="dxa"/>
          </w:tcPr>
          <w:p>
            <w:pPr>
              <w:pStyle w:val="TableParagraph"/>
              <w:ind w:right="41"/>
              <w:rPr>
                <w:sz w:val="20"/>
              </w:rPr>
            </w:pPr>
            <w:r>
              <w:rPr>
                <w:color w:val="000009"/>
                <w:sz w:val="20"/>
              </w:rPr>
              <w:t>1.22%</w:t>
            </w:r>
          </w:p>
        </w:tc>
      </w:tr>
      <w:tr>
        <w:trPr>
          <w:trHeight w:val="340" w:hRule="atLeast"/>
        </w:trPr>
        <w:tc>
          <w:tcPr>
            <w:tcW w:w="914" w:type="dxa"/>
          </w:tcPr>
          <w:p>
            <w:pPr>
              <w:pStyle w:val="TableParagraph"/>
              <w:ind w:left="57" w:right="0"/>
              <w:jc w:val="left"/>
              <w:rPr>
                <w:sz w:val="20"/>
              </w:rPr>
            </w:pPr>
            <w:r>
              <w:rPr>
                <w:color w:val="000009"/>
                <w:sz w:val="20"/>
              </w:rPr>
              <w:t>JPM</w:t>
            </w:r>
          </w:p>
        </w:tc>
        <w:tc>
          <w:tcPr>
            <w:tcW w:w="1242" w:type="dxa"/>
          </w:tcPr>
          <w:p>
            <w:pPr>
              <w:pStyle w:val="TableParagraph"/>
              <w:rPr>
                <w:sz w:val="20"/>
              </w:rPr>
            </w:pPr>
            <w:r>
              <w:rPr>
                <w:color w:val="000009"/>
                <w:sz w:val="20"/>
              </w:rPr>
              <w:t>20.00%</w:t>
            </w:r>
          </w:p>
        </w:tc>
        <w:tc>
          <w:tcPr>
            <w:tcW w:w="1538" w:type="dxa"/>
          </w:tcPr>
          <w:p>
            <w:pPr>
              <w:pStyle w:val="TableParagraph"/>
              <w:rPr>
                <w:sz w:val="20"/>
              </w:rPr>
            </w:pPr>
            <w:r>
              <w:rPr>
                <w:color w:val="000009"/>
                <w:sz w:val="20"/>
              </w:rPr>
              <w:t>-12.10%</w:t>
            </w:r>
          </w:p>
        </w:tc>
        <w:tc>
          <w:tcPr>
            <w:tcW w:w="1520" w:type="dxa"/>
          </w:tcPr>
          <w:p>
            <w:pPr>
              <w:pStyle w:val="TableParagraph"/>
              <w:ind w:right="41"/>
              <w:rPr>
                <w:sz w:val="20"/>
              </w:rPr>
            </w:pPr>
            <w:r>
              <w:rPr>
                <w:color w:val="000009"/>
                <w:sz w:val="20"/>
              </w:rPr>
              <w:t>25.02%</w:t>
            </w:r>
          </w:p>
        </w:tc>
        <w:tc>
          <w:tcPr>
            <w:tcW w:w="1630" w:type="dxa"/>
          </w:tcPr>
          <w:p>
            <w:pPr>
              <w:pStyle w:val="TableParagraph"/>
              <w:rPr>
                <w:sz w:val="20"/>
              </w:rPr>
            </w:pPr>
            <w:r>
              <w:rPr>
                <w:color w:val="000009"/>
                <w:sz w:val="20"/>
              </w:rPr>
              <w:t>2.05%</w:t>
            </w:r>
          </w:p>
        </w:tc>
        <w:tc>
          <w:tcPr>
            <w:tcW w:w="1388" w:type="dxa"/>
          </w:tcPr>
          <w:p>
            <w:pPr>
              <w:pStyle w:val="TableParagraph"/>
              <w:ind w:right="41"/>
              <w:rPr>
                <w:sz w:val="20"/>
              </w:rPr>
            </w:pPr>
            <w:r>
              <w:rPr>
                <w:color w:val="000009"/>
                <w:sz w:val="20"/>
              </w:rPr>
              <w:t>16.77%</w:t>
            </w:r>
          </w:p>
        </w:tc>
      </w:tr>
      <w:tr>
        <w:trPr>
          <w:trHeight w:val="342" w:hRule="atLeast"/>
        </w:trPr>
        <w:tc>
          <w:tcPr>
            <w:tcW w:w="914" w:type="dxa"/>
          </w:tcPr>
          <w:p>
            <w:pPr>
              <w:pStyle w:val="TableParagraph"/>
              <w:ind w:left="57" w:right="0"/>
              <w:jc w:val="left"/>
              <w:rPr>
                <w:sz w:val="20"/>
              </w:rPr>
            </w:pPr>
            <w:r>
              <w:rPr>
                <w:color w:val="000009"/>
                <w:sz w:val="20"/>
              </w:rPr>
              <w:t>KO</w:t>
            </w:r>
          </w:p>
        </w:tc>
        <w:tc>
          <w:tcPr>
            <w:tcW w:w="1242" w:type="dxa"/>
          </w:tcPr>
          <w:p>
            <w:pPr>
              <w:pStyle w:val="TableParagraph"/>
              <w:rPr>
                <w:sz w:val="20"/>
              </w:rPr>
            </w:pPr>
            <w:r>
              <w:rPr>
                <w:color w:val="000009"/>
                <w:sz w:val="20"/>
              </w:rPr>
              <w:t>16.78%</w:t>
            </w:r>
          </w:p>
        </w:tc>
        <w:tc>
          <w:tcPr>
            <w:tcW w:w="1538" w:type="dxa"/>
          </w:tcPr>
          <w:p>
            <w:pPr>
              <w:pStyle w:val="TableParagraph"/>
              <w:rPr>
                <w:sz w:val="20"/>
              </w:rPr>
            </w:pPr>
            <w:r>
              <w:rPr>
                <w:color w:val="000009"/>
                <w:sz w:val="20"/>
              </w:rPr>
              <w:t>16.68%</w:t>
            </w:r>
          </w:p>
        </w:tc>
        <w:tc>
          <w:tcPr>
            <w:tcW w:w="1520" w:type="dxa"/>
          </w:tcPr>
          <w:p>
            <w:pPr>
              <w:pStyle w:val="TableParagraph"/>
              <w:ind w:right="41"/>
              <w:rPr>
                <w:sz w:val="20"/>
              </w:rPr>
            </w:pPr>
            <w:r>
              <w:rPr>
                <w:color w:val="000009"/>
                <w:sz w:val="20"/>
              </w:rPr>
              <w:t>22.58%</w:t>
            </w:r>
          </w:p>
        </w:tc>
        <w:tc>
          <w:tcPr>
            <w:tcW w:w="1630" w:type="dxa"/>
          </w:tcPr>
          <w:p>
            <w:pPr>
              <w:pStyle w:val="TableParagraph"/>
              <w:rPr>
                <w:sz w:val="20"/>
              </w:rPr>
            </w:pPr>
            <w:r>
              <w:rPr>
                <w:color w:val="000009"/>
                <w:sz w:val="20"/>
              </w:rPr>
              <w:t>17.17%</w:t>
            </w:r>
          </w:p>
        </w:tc>
        <w:tc>
          <w:tcPr>
            <w:tcW w:w="1388" w:type="dxa"/>
          </w:tcPr>
          <w:p>
            <w:pPr>
              <w:pStyle w:val="TableParagraph"/>
              <w:ind w:right="41"/>
              <w:rPr>
                <w:sz w:val="20"/>
              </w:rPr>
            </w:pPr>
            <w:r>
              <w:rPr>
                <w:color w:val="000009"/>
                <w:sz w:val="20"/>
              </w:rPr>
              <w:t>15.05%</w:t>
            </w:r>
          </w:p>
        </w:tc>
      </w:tr>
      <w:tr>
        <w:trPr>
          <w:trHeight w:val="340" w:hRule="atLeast"/>
        </w:trPr>
        <w:tc>
          <w:tcPr>
            <w:tcW w:w="914" w:type="dxa"/>
          </w:tcPr>
          <w:p>
            <w:pPr>
              <w:pStyle w:val="TableParagraph"/>
              <w:ind w:left="57" w:right="0"/>
              <w:jc w:val="left"/>
              <w:rPr>
                <w:sz w:val="20"/>
              </w:rPr>
            </w:pPr>
            <w:r>
              <w:rPr>
                <w:color w:val="000009"/>
                <w:sz w:val="20"/>
              </w:rPr>
              <w:t>MCD</w:t>
            </w:r>
          </w:p>
        </w:tc>
        <w:tc>
          <w:tcPr>
            <w:tcW w:w="1242" w:type="dxa"/>
          </w:tcPr>
          <w:p>
            <w:pPr>
              <w:pStyle w:val="TableParagraph"/>
              <w:rPr>
                <w:sz w:val="20"/>
              </w:rPr>
            </w:pPr>
            <w:r>
              <w:rPr>
                <w:color w:val="000009"/>
                <w:sz w:val="20"/>
              </w:rPr>
              <w:t>2.78%</w:t>
            </w:r>
          </w:p>
        </w:tc>
        <w:tc>
          <w:tcPr>
            <w:tcW w:w="1538" w:type="dxa"/>
          </w:tcPr>
          <w:p>
            <w:pPr>
              <w:pStyle w:val="TableParagraph"/>
              <w:rPr>
                <w:sz w:val="20"/>
              </w:rPr>
            </w:pPr>
            <w:r>
              <w:rPr>
                <w:color w:val="000009"/>
                <w:sz w:val="20"/>
              </w:rPr>
              <w:t>7.79%</w:t>
            </w:r>
          </w:p>
        </w:tc>
        <w:tc>
          <w:tcPr>
            <w:tcW w:w="1520" w:type="dxa"/>
          </w:tcPr>
          <w:p>
            <w:pPr>
              <w:pStyle w:val="TableParagraph"/>
              <w:rPr>
                <w:sz w:val="20"/>
              </w:rPr>
            </w:pPr>
            <w:r>
              <w:rPr>
                <w:color w:val="000009"/>
                <w:sz w:val="20"/>
              </w:rPr>
              <w:t>-1.49%</w:t>
            </w:r>
          </w:p>
        </w:tc>
        <w:tc>
          <w:tcPr>
            <w:tcW w:w="1630" w:type="dxa"/>
          </w:tcPr>
          <w:p>
            <w:pPr>
              <w:pStyle w:val="TableParagraph"/>
              <w:rPr>
                <w:sz w:val="20"/>
              </w:rPr>
            </w:pPr>
            <w:r>
              <w:rPr>
                <w:color w:val="000009"/>
                <w:sz w:val="20"/>
              </w:rPr>
              <w:t>11.29%</w:t>
            </w:r>
          </w:p>
        </w:tc>
        <w:tc>
          <w:tcPr>
            <w:tcW w:w="1388" w:type="dxa"/>
          </w:tcPr>
          <w:p>
            <w:pPr>
              <w:pStyle w:val="TableParagraph"/>
              <w:ind w:right="41"/>
              <w:rPr>
                <w:sz w:val="20"/>
              </w:rPr>
            </w:pPr>
            <w:r>
              <w:rPr>
                <w:color w:val="000009"/>
                <w:sz w:val="20"/>
              </w:rPr>
              <w:t>7.19%</w:t>
            </w:r>
          </w:p>
        </w:tc>
      </w:tr>
      <w:tr>
        <w:trPr>
          <w:trHeight w:val="341" w:hRule="atLeast"/>
        </w:trPr>
        <w:tc>
          <w:tcPr>
            <w:tcW w:w="914" w:type="dxa"/>
          </w:tcPr>
          <w:p>
            <w:pPr>
              <w:pStyle w:val="TableParagraph"/>
              <w:ind w:left="57" w:right="0"/>
              <w:jc w:val="left"/>
              <w:rPr>
                <w:sz w:val="20"/>
              </w:rPr>
            </w:pPr>
            <w:r>
              <w:rPr>
                <w:color w:val="000009"/>
                <w:sz w:val="20"/>
              </w:rPr>
              <w:t>MMM</w:t>
            </w:r>
          </w:p>
        </w:tc>
        <w:tc>
          <w:tcPr>
            <w:tcW w:w="1242" w:type="dxa"/>
          </w:tcPr>
          <w:p>
            <w:pPr>
              <w:pStyle w:val="TableParagraph"/>
              <w:rPr>
                <w:sz w:val="20"/>
              </w:rPr>
            </w:pPr>
            <w:r>
              <w:rPr>
                <w:color w:val="000009"/>
                <w:sz w:val="20"/>
              </w:rPr>
              <w:t>16.56%</w:t>
            </w:r>
          </w:p>
        </w:tc>
        <w:tc>
          <w:tcPr>
            <w:tcW w:w="1538" w:type="dxa"/>
          </w:tcPr>
          <w:p>
            <w:pPr>
              <w:pStyle w:val="TableParagraph"/>
              <w:rPr>
                <w:sz w:val="20"/>
              </w:rPr>
            </w:pPr>
            <w:r>
              <w:rPr>
                <w:color w:val="000009"/>
                <w:sz w:val="20"/>
              </w:rPr>
              <w:t>6.87%</w:t>
            </w:r>
          </w:p>
        </w:tc>
        <w:tc>
          <w:tcPr>
            <w:tcW w:w="1520" w:type="dxa"/>
          </w:tcPr>
          <w:p>
            <w:pPr>
              <w:pStyle w:val="TableParagraph"/>
              <w:rPr>
                <w:sz w:val="20"/>
              </w:rPr>
            </w:pPr>
            <w:r>
              <w:rPr>
                <w:color w:val="000009"/>
                <w:sz w:val="20"/>
              </w:rPr>
              <w:t>-1.60%</w:t>
            </w:r>
          </w:p>
        </w:tc>
        <w:tc>
          <w:tcPr>
            <w:tcW w:w="1630" w:type="dxa"/>
          </w:tcPr>
          <w:p>
            <w:pPr>
              <w:pStyle w:val="TableParagraph"/>
              <w:rPr>
                <w:sz w:val="20"/>
              </w:rPr>
            </w:pPr>
            <w:r>
              <w:rPr>
                <w:color w:val="000009"/>
                <w:sz w:val="20"/>
              </w:rPr>
              <w:t>6.81%</w:t>
            </w:r>
          </w:p>
        </w:tc>
        <w:tc>
          <w:tcPr>
            <w:tcW w:w="1388" w:type="dxa"/>
          </w:tcPr>
          <w:p>
            <w:pPr>
              <w:pStyle w:val="TableParagraph"/>
              <w:ind w:right="41"/>
              <w:rPr>
                <w:sz w:val="20"/>
              </w:rPr>
            </w:pPr>
            <w:r>
              <w:rPr>
                <w:color w:val="000009"/>
                <w:sz w:val="20"/>
              </w:rPr>
              <w:t>-11.45%</w:t>
            </w:r>
          </w:p>
        </w:tc>
      </w:tr>
      <w:tr>
        <w:trPr>
          <w:trHeight w:val="340" w:hRule="atLeast"/>
        </w:trPr>
        <w:tc>
          <w:tcPr>
            <w:tcW w:w="914" w:type="dxa"/>
          </w:tcPr>
          <w:p>
            <w:pPr>
              <w:pStyle w:val="TableParagraph"/>
              <w:ind w:left="57" w:right="0"/>
              <w:jc w:val="left"/>
              <w:rPr>
                <w:sz w:val="20"/>
              </w:rPr>
            </w:pPr>
            <w:r>
              <w:rPr>
                <w:color w:val="000009"/>
                <w:sz w:val="20"/>
              </w:rPr>
              <w:t>MRK</w:t>
            </w:r>
          </w:p>
        </w:tc>
        <w:tc>
          <w:tcPr>
            <w:tcW w:w="1242" w:type="dxa"/>
          </w:tcPr>
          <w:p>
            <w:pPr>
              <w:pStyle w:val="TableParagraph"/>
              <w:rPr>
                <w:sz w:val="20"/>
              </w:rPr>
            </w:pPr>
            <w:r>
              <w:rPr>
                <w:color w:val="000009"/>
                <w:sz w:val="20"/>
              </w:rPr>
              <w:t>14.24%</w:t>
            </w:r>
          </w:p>
        </w:tc>
        <w:tc>
          <w:tcPr>
            <w:tcW w:w="1538" w:type="dxa"/>
          </w:tcPr>
          <w:p>
            <w:pPr>
              <w:pStyle w:val="TableParagraph"/>
              <w:rPr>
                <w:sz w:val="20"/>
              </w:rPr>
            </w:pPr>
            <w:r>
              <w:rPr>
                <w:color w:val="000009"/>
                <w:sz w:val="20"/>
              </w:rPr>
              <w:t>2.64%</w:t>
            </w:r>
          </w:p>
        </w:tc>
        <w:tc>
          <w:tcPr>
            <w:tcW w:w="1520" w:type="dxa"/>
          </w:tcPr>
          <w:p>
            <w:pPr>
              <w:pStyle w:val="TableParagraph"/>
              <w:rPr>
                <w:sz w:val="20"/>
              </w:rPr>
            </w:pPr>
            <w:r>
              <w:rPr>
                <w:color w:val="000009"/>
                <w:sz w:val="20"/>
              </w:rPr>
              <w:t>-5.35%</w:t>
            </w:r>
          </w:p>
        </w:tc>
        <w:tc>
          <w:tcPr>
            <w:tcW w:w="1630" w:type="dxa"/>
          </w:tcPr>
          <w:p>
            <w:pPr>
              <w:pStyle w:val="TableParagraph"/>
              <w:rPr>
                <w:sz w:val="20"/>
              </w:rPr>
            </w:pPr>
            <w:r>
              <w:rPr>
                <w:color w:val="000009"/>
                <w:sz w:val="20"/>
              </w:rPr>
              <w:t>16.83%</w:t>
            </w:r>
          </w:p>
        </w:tc>
        <w:tc>
          <w:tcPr>
            <w:tcW w:w="1388" w:type="dxa"/>
          </w:tcPr>
          <w:p>
            <w:pPr>
              <w:pStyle w:val="TableParagraph"/>
              <w:rPr>
                <w:sz w:val="20"/>
              </w:rPr>
            </w:pPr>
            <w:r>
              <w:rPr>
                <w:color w:val="000009"/>
                <w:sz w:val="20"/>
              </w:rPr>
              <w:t>-13.60%</w:t>
            </w:r>
          </w:p>
        </w:tc>
      </w:tr>
      <w:tr>
        <w:trPr>
          <w:trHeight w:val="342" w:hRule="atLeast"/>
        </w:trPr>
        <w:tc>
          <w:tcPr>
            <w:tcW w:w="914" w:type="dxa"/>
          </w:tcPr>
          <w:p>
            <w:pPr>
              <w:pStyle w:val="TableParagraph"/>
              <w:ind w:left="57" w:right="0"/>
              <w:jc w:val="left"/>
              <w:rPr>
                <w:sz w:val="20"/>
              </w:rPr>
            </w:pPr>
            <w:r>
              <w:rPr>
                <w:color w:val="000009"/>
                <w:sz w:val="20"/>
              </w:rPr>
              <w:t>MSFT</w:t>
            </w:r>
          </w:p>
        </w:tc>
        <w:tc>
          <w:tcPr>
            <w:tcW w:w="1242" w:type="dxa"/>
          </w:tcPr>
          <w:p>
            <w:pPr>
              <w:pStyle w:val="TableParagraph"/>
              <w:rPr>
                <w:sz w:val="20"/>
              </w:rPr>
            </w:pPr>
            <w:r>
              <w:rPr>
                <w:color w:val="000009"/>
                <w:sz w:val="20"/>
              </w:rPr>
              <w:t>-0.93%</w:t>
            </w:r>
          </w:p>
        </w:tc>
        <w:tc>
          <w:tcPr>
            <w:tcW w:w="1538" w:type="dxa"/>
          </w:tcPr>
          <w:p>
            <w:pPr>
              <w:pStyle w:val="TableParagraph"/>
              <w:rPr>
                <w:sz w:val="20"/>
              </w:rPr>
            </w:pPr>
            <w:r>
              <w:rPr>
                <w:color w:val="000009"/>
                <w:sz w:val="20"/>
              </w:rPr>
              <w:t>-15.60%</w:t>
            </w:r>
          </w:p>
        </w:tc>
        <w:tc>
          <w:tcPr>
            <w:tcW w:w="1520" w:type="dxa"/>
          </w:tcPr>
          <w:p>
            <w:pPr>
              <w:pStyle w:val="TableParagraph"/>
              <w:rPr>
                <w:sz w:val="20"/>
              </w:rPr>
            </w:pPr>
            <w:r>
              <w:rPr>
                <w:color w:val="000009"/>
                <w:sz w:val="20"/>
              </w:rPr>
              <w:t>-4.07%</w:t>
            </w:r>
          </w:p>
        </w:tc>
        <w:tc>
          <w:tcPr>
            <w:tcW w:w="1630" w:type="dxa"/>
          </w:tcPr>
          <w:p>
            <w:pPr>
              <w:pStyle w:val="TableParagraph"/>
              <w:rPr>
                <w:sz w:val="20"/>
              </w:rPr>
            </w:pPr>
            <w:r>
              <w:rPr>
                <w:color w:val="000009"/>
                <w:sz w:val="20"/>
              </w:rPr>
              <w:t>10.86%</w:t>
            </w:r>
          </w:p>
        </w:tc>
        <w:tc>
          <w:tcPr>
            <w:tcW w:w="1388" w:type="dxa"/>
          </w:tcPr>
          <w:p>
            <w:pPr>
              <w:pStyle w:val="TableParagraph"/>
              <w:ind w:right="41"/>
              <w:rPr>
                <w:sz w:val="20"/>
              </w:rPr>
            </w:pPr>
            <w:r>
              <w:rPr>
                <w:color w:val="000009"/>
                <w:sz w:val="20"/>
              </w:rPr>
              <w:t>12.82%</w:t>
            </w:r>
          </w:p>
        </w:tc>
      </w:tr>
      <w:tr>
        <w:trPr>
          <w:trHeight w:val="340" w:hRule="atLeast"/>
        </w:trPr>
        <w:tc>
          <w:tcPr>
            <w:tcW w:w="914" w:type="dxa"/>
          </w:tcPr>
          <w:p>
            <w:pPr>
              <w:pStyle w:val="TableParagraph"/>
              <w:ind w:left="57" w:right="0"/>
              <w:jc w:val="left"/>
              <w:rPr>
                <w:sz w:val="20"/>
              </w:rPr>
            </w:pPr>
            <w:r>
              <w:rPr>
                <w:color w:val="000009"/>
                <w:sz w:val="20"/>
              </w:rPr>
              <w:t>PFE</w:t>
            </w:r>
          </w:p>
        </w:tc>
        <w:tc>
          <w:tcPr>
            <w:tcW w:w="1242" w:type="dxa"/>
          </w:tcPr>
          <w:p>
            <w:pPr>
              <w:pStyle w:val="TableParagraph"/>
              <w:rPr>
                <w:sz w:val="20"/>
              </w:rPr>
            </w:pPr>
            <w:r>
              <w:rPr>
                <w:color w:val="000009"/>
                <w:sz w:val="20"/>
              </w:rPr>
              <w:t>17.22%</w:t>
            </w:r>
          </w:p>
        </w:tc>
        <w:tc>
          <w:tcPr>
            <w:tcW w:w="1538" w:type="dxa"/>
          </w:tcPr>
          <w:p>
            <w:pPr>
              <w:pStyle w:val="TableParagraph"/>
              <w:rPr>
                <w:sz w:val="20"/>
              </w:rPr>
            </w:pPr>
            <w:r>
              <w:rPr>
                <w:color w:val="000009"/>
                <w:sz w:val="20"/>
              </w:rPr>
              <w:t>5.14%</w:t>
            </w:r>
          </w:p>
        </w:tc>
        <w:tc>
          <w:tcPr>
            <w:tcW w:w="1520" w:type="dxa"/>
          </w:tcPr>
          <w:p>
            <w:pPr>
              <w:pStyle w:val="TableParagraph"/>
              <w:rPr>
                <w:sz w:val="20"/>
              </w:rPr>
            </w:pPr>
            <w:r>
              <w:rPr>
                <w:color w:val="000009"/>
                <w:sz w:val="20"/>
              </w:rPr>
              <w:t>-0.32%</w:t>
            </w:r>
          </w:p>
        </w:tc>
        <w:tc>
          <w:tcPr>
            <w:tcW w:w="1630" w:type="dxa"/>
          </w:tcPr>
          <w:p>
            <w:pPr>
              <w:pStyle w:val="TableParagraph"/>
              <w:rPr>
                <w:sz w:val="20"/>
              </w:rPr>
            </w:pPr>
            <w:r>
              <w:rPr>
                <w:color w:val="000009"/>
                <w:sz w:val="20"/>
              </w:rPr>
              <w:t>9.47%</w:t>
            </w:r>
          </w:p>
        </w:tc>
        <w:tc>
          <w:tcPr>
            <w:tcW w:w="1388" w:type="dxa"/>
          </w:tcPr>
          <w:p>
            <w:pPr>
              <w:pStyle w:val="TableParagraph"/>
              <w:ind w:right="41"/>
              <w:rPr>
                <w:sz w:val="20"/>
              </w:rPr>
            </w:pPr>
            <w:r>
              <w:rPr>
                <w:color w:val="000009"/>
                <w:sz w:val="20"/>
              </w:rPr>
              <w:t>5.27%</w:t>
            </w:r>
          </w:p>
        </w:tc>
      </w:tr>
      <w:tr>
        <w:trPr>
          <w:trHeight w:val="342" w:hRule="atLeast"/>
        </w:trPr>
        <w:tc>
          <w:tcPr>
            <w:tcW w:w="914" w:type="dxa"/>
          </w:tcPr>
          <w:p>
            <w:pPr>
              <w:pStyle w:val="TableParagraph"/>
              <w:ind w:left="57" w:right="0"/>
              <w:jc w:val="left"/>
              <w:rPr>
                <w:sz w:val="20"/>
              </w:rPr>
            </w:pPr>
            <w:r>
              <w:rPr>
                <w:color w:val="000009"/>
                <w:sz w:val="20"/>
              </w:rPr>
              <w:t>PG</w:t>
            </w:r>
          </w:p>
        </w:tc>
        <w:tc>
          <w:tcPr>
            <w:tcW w:w="1242" w:type="dxa"/>
          </w:tcPr>
          <w:p>
            <w:pPr>
              <w:pStyle w:val="TableParagraph"/>
              <w:rPr>
                <w:sz w:val="20"/>
              </w:rPr>
            </w:pPr>
            <w:r>
              <w:rPr>
                <w:color w:val="000009"/>
                <w:sz w:val="20"/>
              </w:rPr>
              <w:t>-14.45%</w:t>
            </w:r>
          </w:p>
        </w:tc>
        <w:tc>
          <w:tcPr>
            <w:tcW w:w="1538" w:type="dxa"/>
          </w:tcPr>
          <w:p>
            <w:pPr>
              <w:pStyle w:val="TableParagraph"/>
              <w:rPr>
                <w:sz w:val="20"/>
              </w:rPr>
            </w:pPr>
            <w:r>
              <w:rPr>
                <w:color w:val="000009"/>
                <w:sz w:val="20"/>
              </w:rPr>
              <w:t>-31.42%</w:t>
            </w:r>
          </w:p>
        </w:tc>
        <w:tc>
          <w:tcPr>
            <w:tcW w:w="1520" w:type="dxa"/>
          </w:tcPr>
          <w:p>
            <w:pPr>
              <w:pStyle w:val="TableParagraph"/>
              <w:rPr>
                <w:sz w:val="20"/>
              </w:rPr>
            </w:pPr>
            <w:r>
              <w:rPr>
                <w:color w:val="000009"/>
                <w:sz w:val="20"/>
              </w:rPr>
              <w:t>-20.26%</w:t>
            </w:r>
          </w:p>
        </w:tc>
        <w:tc>
          <w:tcPr>
            <w:tcW w:w="1630" w:type="dxa"/>
          </w:tcPr>
          <w:p>
            <w:pPr>
              <w:pStyle w:val="TableParagraph"/>
              <w:rPr>
                <w:sz w:val="20"/>
              </w:rPr>
            </w:pPr>
            <w:r>
              <w:rPr>
                <w:color w:val="000009"/>
                <w:sz w:val="20"/>
              </w:rPr>
              <w:t>-30.22%</w:t>
            </w:r>
          </w:p>
        </w:tc>
        <w:tc>
          <w:tcPr>
            <w:tcW w:w="1388" w:type="dxa"/>
          </w:tcPr>
          <w:p>
            <w:pPr>
              <w:pStyle w:val="TableParagraph"/>
              <w:rPr>
                <w:sz w:val="20"/>
              </w:rPr>
            </w:pPr>
            <w:r>
              <w:rPr>
                <w:color w:val="000009"/>
                <w:sz w:val="20"/>
              </w:rPr>
              <w:t>-7.08%</w:t>
            </w:r>
          </w:p>
        </w:tc>
      </w:tr>
      <w:tr>
        <w:trPr>
          <w:trHeight w:val="340" w:hRule="atLeast"/>
        </w:trPr>
        <w:tc>
          <w:tcPr>
            <w:tcW w:w="914" w:type="dxa"/>
          </w:tcPr>
          <w:p>
            <w:pPr>
              <w:pStyle w:val="TableParagraph"/>
              <w:ind w:left="57" w:right="0"/>
              <w:jc w:val="left"/>
              <w:rPr>
                <w:sz w:val="20"/>
              </w:rPr>
            </w:pPr>
            <w:r>
              <w:rPr>
                <w:color w:val="000009"/>
                <w:sz w:val="20"/>
              </w:rPr>
              <w:t>TRV</w:t>
            </w:r>
          </w:p>
        </w:tc>
        <w:tc>
          <w:tcPr>
            <w:tcW w:w="1242" w:type="dxa"/>
          </w:tcPr>
          <w:p>
            <w:pPr>
              <w:pStyle w:val="TableParagraph"/>
              <w:rPr>
                <w:sz w:val="20"/>
              </w:rPr>
            </w:pPr>
            <w:r>
              <w:rPr>
                <w:color w:val="000009"/>
                <w:sz w:val="20"/>
              </w:rPr>
              <w:t>25.50%</w:t>
            </w:r>
          </w:p>
        </w:tc>
        <w:tc>
          <w:tcPr>
            <w:tcW w:w="1538" w:type="dxa"/>
          </w:tcPr>
          <w:p>
            <w:pPr>
              <w:pStyle w:val="TableParagraph"/>
              <w:rPr>
                <w:sz w:val="20"/>
              </w:rPr>
            </w:pPr>
            <w:r>
              <w:rPr>
                <w:color w:val="000009"/>
                <w:sz w:val="20"/>
              </w:rPr>
              <w:t>-15.83%</w:t>
            </w:r>
          </w:p>
        </w:tc>
        <w:tc>
          <w:tcPr>
            <w:tcW w:w="1520" w:type="dxa"/>
          </w:tcPr>
          <w:p>
            <w:pPr>
              <w:pStyle w:val="TableParagraph"/>
              <w:rPr>
                <w:sz w:val="20"/>
              </w:rPr>
            </w:pPr>
            <w:r>
              <w:rPr>
                <w:color w:val="000009"/>
                <w:sz w:val="20"/>
              </w:rPr>
              <w:t>-5.81%</w:t>
            </w:r>
          </w:p>
        </w:tc>
        <w:tc>
          <w:tcPr>
            <w:tcW w:w="1630" w:type="dxa"/>
          </w:tcPr>
          <w:p>
            <w:pPr>
              <w:pStyle w:val="TableParagraph"/>
              <w:rPr>
                <w:sz w:val="20"/>
              </w:rPr>
            </w:pPr>
            <w:r>
              <w:rPr>
                <w:color w:val="000009"/>
                <w:sz w:val="20"/>
              </w:rPr>
              <w:t>8.19%</w:t>
            </w:r>
          </w:p>
        </w:tc>
        <w:tc>
          <w:tcPr>
            <w:tcW w:w="1388" w:type="dxa"/>
          </w:tcPr>
          <w:p>
            <w:pPr>
              <w:pStyle w:val="TableParagraph"/>
              <w:rPr>
                <w:sz w:val="20"/>
              </w:rPr>
            </w:pPr>
            <w:r>
              <w:rPr>
                <w:color w:val="000009"/>
                <w:sz w:val="20"/>
              </w:rPr>
              <w:t>-0.78%</w:t>
            </w:r>
          </w:p>
        </w:tc>
      </w:tr>
      <w:tr>
        <w:trPr>
          <w:trHeight w:val="341" w:hRule="atLeast"/>
        </w:trPr>
        <w:tc>
          <w:tcPr>
            <w:tcW w:w="914" w:type="dxa"/>
          </w:tcPr>
          <w:p>
            <w:pPr>
              <w:pStyle w:val="TableParagraph"/>
              <w:ind w:left="57" w:right="0"/>
              <w:jc w:val="left"/>
              <w:rPr>
                <w:sz w:val="20"/>
              </w:rPr>
            </w:pPr>
            <w:r>
              <w:rPr>
                <w:color w:val="000009"/>
                <w:sz w:val="20"/>
              </w:rPr>
              <w:t>UNH</w:t>
            </w:r>
          </w:p>
        </w:tc>
        <w:tc>
          <w:tcPr>
            <w:tcW w:w="1242" w:type="dxa"/>
          </w:tcPr>
          <w:p>
            <w:pPr>
              <w:pStyle w:val="TableParagraph"/>
              <w:rPr>
                <w:sz w:val="20"/>
              </w:rPr>
            </w:pPr>
            <w:r>
              <w:rPr>
                <w:color w:val="000009"/>
                <w:sz w:val="20"/>
              </w:rPr>
              <w:t>-14.16%</w:t>
            </w:r>
          </w:p>
        </w:tc>
        <w:tc>
          <w:tcPr>
            <w:tcW w:w="1538" w:type="dxa"/>
          </w:tcPr>
          <w:p>
            <w:pPr>
              <w:pStyle w:val="TableParagraph"/>
              <w:rPr>
                <w:sz w:val="20"/>
              </w:rPr>
            </w:pPr>
            <w:r>
              <w:rPr>
                <w:color w:val="000009"/>
                <w:sz w:val="20"/>
              </w:rPr>
              <w:t>-34.57%</w:t>
            </w:r>
          </w:p>
        </w:tc>
        <w:tc>
          <w:tcPr>
            <w:tcW w:w="1520" w:type="dxa"/>
          </w:tcPr>
          <w:p>
            <w:pPr>
              <w:pStyle w:val="TableParagraph"/>
              <w:rPr>
                <w:sz w:val="20"/>
              </w:rPr>
            </w:pPr>
            <w:r>
              <w:rPr>
                <w:color w:val="000009"/>
                <w:sz w:val="20"/>
              </w:rPr>
              <w:t>-15.33%</w:t>
            </w:r>
          </w:p>
        </w:tc>
        <w:tc>
          <w:tcPr>
            <w:tcW w:w="1630" w:type="dxa"/>
          </w:tcPr>
          <w:p>
            <w:pPr>
              <w:pStyle w:val="TableParagraph"/>
              <w:rPr>
                <w:sz w:val="20"/>
              </w:rPr>
            </w:pPr>
            <w:r>
              <w:rPr>
                <w:color w:val="000009"/>
                <w:sz w:val="20"/>
              </w:rPr>
              <w:t>-24.33%</w:t>
            </w:r>
          </w:p>
        </w:tc>
        <w:tc>
          <w:tcPr>
            <w:tcW w:w="1388" w:type="dxa"/>
          </w:tcPr>
          <w:p>
            <w:pPr>
              <w:pStyle w:val="TableParagraph"/>
              <w:rPr>
                <w:sz w:val="20"/>
              </w:rPr>
            </w:pPr>
            <w:r>
              <w:rPr>
                <w:color w:val="000009"/>
                <w:sz w:val="20"/>
              </w:rPr>
              <w:t>-16.51%</w:t>
            </w:r>
          </w:p>
        </w:tc>
      </w:tr>
      <w:tr>
        <w:trPr>
          <w:trHeight w:val="340" w:hRule="atLeast"/>
        </w:trPr>
        <w:tc>
          <w:tcPr>
            <w:tcW w:w="914" w:type="dxa"/>
          </w:tcPr>
          <w:p>
            <w:pPr>
              <w:pStyle w:val="TableParagraph"/>
              <w:ind w:left="57" w:right="0"/>
              <w:jc w:val="left"/>
              <w:rPr>
                <w:sz w:val="20"/>
              </w:rPr>
            </w:pPr>
            <w:r>
              <w:rPr>
                <w:color w:val="000009"/>
                <w:sz w:val="20"/>
              </w:rPr>
              <w:t>UTX</w:t>
            </w:r>
          </w:p>
        </w:tc>
        <w:tc>
          <w:tcPr>
            <w:tcW w:w="1242" w:type="dxa"/>
          </w:tcPr>
          <w:p>
            <w:pPr>
              <w:pStyle w:val="TableParagraph"/>
              <w:rPr>
                <w:sz w:val="20"/>
              </w:rPr>
            </w:pPr>
            <w:r>
              <w:rPr>
                <w:color w:val="000009"/>
                <w:sz w:val="20"/>
              </w:rPr>
              <w:t>-2.82%</w:t>
            </w:r>
          </w:p>
        </w:tc>
        <w:tc>
          <w:tcPr>
            <w:tcW w:w="1538" w:type="dxa"/>
          </w:tcPr>
          <w:p>
            <w:pPr>
              <w:pStyle w:val="TableParagraph"/>
              <w:rPr>
                <w:sz w:val="20"/>
              </w:rPr>
            </w:pPr>
            <w:r>
              <w:rPr>
                <w:color w:val="000009"/>
                <w:sz w:val="20"/>
              </w:rPr>
              <w:t>-5.66%</w:t>
            </w:r>
          </w:p>
        </w:tc>
        <w:tc>
          <w:tcPr>
            <w:tcW w:w="1520" w:type="dxa"/>
          </w:tcPr>
          <w:p>
            <w:pPr>
              <w:pStyle w:val="TableParagraph"/>
              <w:ind w:right="41"/>
              <w:rPr>
                <w:sz w:val="20"/>
              </w:rPr>
            </w:pPr>
            <w:r>
              <w:rPr>
                <w:color w:val="000009"/>
                <w:sz w:val="20"/>
              </w:rPr>
              <w:t>9.11%</w:t>
            </w:r>
          </w:p>
        </w:tc>
        <w:tc>
          <w:tcPr>
            <w:tcW w:w="1630" w:type="dxa"/>
          </w:tcPr>
          <w:p>
            <w:pPr>
              <w:pStyle w:val="TableParagraph"/>
              <w:rPr>
                <w:sz w:val="20"/>
              </w:rPr>
            </w:pPr>
            <w:r>
              <w:rPr>
                <w:color w:val="000009"/>
                <w:sz w:val="20"/>
              </w:rPr>
              <w:t>9.55%</w:t>
            </w:r>
          </w:p>
        </w:tc>
        <w:tc>
          <w:tcPr>
            <w:tcW w:w="1388" w:type="dxa"/>
          </w:tcPr>
          <w:p>
            <w:pPr>
              <w:pStyle w:val="TableParagraph"/>
              <w:ind w:right="41"/>
              <w:rPr>
                <w:sz w:val="20"/>
              </w:rPr>
            </w:pPr>
            <w:r>
              <w:rPr>
                <w:color w:val="000009"/>
                <w:sz w:val="20"/>
              </w:rPr>
              <w:t>11.58%</w:t>
            </w:r>
          </w:p>
        </w:tc>
      </w:tr>
      <w:tr>
        <w:trPr>
          <w:trHeight w:val="342" w:hRule="atLeast"/>
        </w:trPr>
        <w:tc>
          <w:tcPr>
            <w:tcW w:w="914" w:type="dxa"/>
          </w:tcPr>
          <w:p>
            <w:pPr>
              <w:pStyle w:val="TableParagraph"/>
              <w:ind w:left="57" w:right="0"/>
              <w:jc w:val="left"/>
              <w:rPr>
                <w:sz w:val="20"/>
              </w:rPr>
            </w:pPr>
            <w:r>
              <w:rPr>
                <w:color w:val="000009"/>
                <w:sz w:val="20"/>
              </w:rPr>
              <w:t>VZ</w:t>
            </w:r>
          </w:p>
        </w:tc>
        <w:tc>
          <w:tcPr>
            <w:tcW w:w="1242" w:type="dxa"/>
          </w:tcPr>
          <w:p>
            <w:pPr>
              <w:pStyle w:val="TableParagraph"/>
              <w:rPr>
                <w:sz w:val="20"/>
              </w:rPr>
            </w:pPr>
            <w:r>
              <w:rPr>
                <w:color w:val="000009"/>
                <w:sz w:val="20"/>
              </w:rPr>
              <w:t>-2.81%</w:t>
            </w:r>
          </w:p>
        </w:tc>
        <w:tc>
          <w:tcPr>
            <w:tcW w:w="1538" w:type="dxa"/>
          </w:tcPr>
          <w:p>
            <w:pPr>
              <w:pStyle w:val="TableParagraph"/>
              <w:rPr>
                <w:sz w:val="20"/>
              </w:rPr>
            </w:pPr>
            <w:r>
              <w:rPr>
                <w:color w:val="000009"/>
                <w:sz w:val="20"/>
              </w:rPr>
              <w:t>-10.43%</w:t>
            </w:r>
          </w:p>
        </w:tc>
        <w:tc>
          <w:tcPr>
            <w:tcW w:w="1520" w:type="dxa"/>
          </w:tcPr>
          <w:p>
            <w:pPr>
              <w:pStyle w:val="TableParagraph"/>
              <w:ind w:right="41"/>
              <w:rPr>
                <w:sz w:val="20"/>
              </w:rPr>
            </w:pPr>
            <w:r>
              <w:rPr>
                <w:color w:val="000009"/>
                <w:sz w:val="20"/>
              </w:rPr>
              <w:t>-11.13%</w:t>
            </w:r>
          </w:p>
        </w:tc>
        <w:tc>
          <w:tcPr>
            <w:tcW w:w="1630" w:type="dxa"/>
          </w:tcPr>
          <w:p>
            <w:pPr>
              <w:pStyle w:val="TableParagraph"/>
              <w:rPr>
                <w:sz w:val="20"/>
              </w:rPr>
            </w:pPr>
            <w:r>
              <w:rPr>
                <w:color w:val="000009"/>
                <w:sz w:val="20"/>
              </w:rPr>
              <w:t>-11.80%</w:t>
            </w:r>
          </w:p>
        </w:tc>
        <w:tc>
          <w:tcPr>
            <w:tcW w:w="1388" w:type="dxa"/>
          </w:tcPr>
          <w:p>
            <w:pPr>
              <w:pStyle w:val="TableParagraph"/>
              <w:ind w:right="41"/>
              <w:rPr>
                <w:sz w:val="20"/>
              </w:rPr>
            </w:pPr>
            <w:r>
              <w:rPr>
                <w:color w:val="000009"/>
                <w:sz w:val="20"/>
              </w:rPr>
              <w:t>6.53%</w:t>
            </w:r>
          </w:p>
        </w:tc>
      </w:tr>
      <w:tr>
        <w:trPr>
          <w:trHeight w:val="340" w:hRule="atLeast"/>
        </w:trPr>
        <w:tc>
          <w:tcPr>
            <w:tcW w:w="914" w:type="dxa"/>
          </w:tcPr>
          <w:p>
            <w:pPr>
              <w:pStyle w:val="TableParagraph"/>
              <w:ind w:left="57" w:right="0"/>
              <w:jc w:val="left"/>
              <w:rPr>
                <w:sz w:val="20"/>
              </w:rPr>
            </w:pPr>
            <w:r>
              <w:rPr>
                <w:color w:val="000009"/>
                <w:sz w:val="20"/>
              </w:rPr>
              <w:t>WMT</w:t>
            </w:r>
          </w:p>
        </w:tc>
        <w:tc>
          <w:tcPr>
            <w:tcW w:w="1242" w:type="dxa"/>
          </w:tcPr>
          <w:p>
            <w:pPr>
              <w:pStyle w:val="TableParagraph"/>
              <w:rPr>
                <w:sz w:val="20"/>
              </w:rPr>
            </w:pPr>
            <w:r>
              <w:rPr>
                <w:color w:val="000009"/>
                <w:sz w:val="20"/>
              </w:rPr>
              <w:t>17.78%</w:t>
            </w:r>
          </w:p>
        </w:tc>
        <w:tc>
          <w:tcPr>
            <w:tcW w:w="1538" w:type="dxa"/>
          </w:tcPr>
          <w:p>
            <w:pPr>
              <w:pStyle w:val="TableParagraph"/>
              <w:rPr>
                <w:sz w:val="20"/>
              </w:rPr>
            </w:pPr>
            <w:r>
              <w:rPr>
                <w:color w:val="000009"/>
                <w:sz w:val="20"/>
              </w:rPr>
              <w:t>6.13%</w:t>
            </w:r>
          </w:p>
        </w:tc>
        <w:tc>
          <w:tcPr>
            <w:tcW w:w="1520" w:type="dxa"/>
          </w:tcPr>
          <w:p>
            <w:pPr>
              <w:pStyle w:val="TableParagraph"/>
              <w:rPr>
                <w:sz w:val="20"/>
              </w:rPr>
            </w:pPr>
            <w:r>
              <w:rPr>
                <w:color w:val="000009"/>
                <w:sz w:val="20"/>
              </w:rPr>
              <w:t>-7.95%</w:t>
            </w:r>
          </w:p>
        </w:tc>
        <w:tc>
          <w:tcPr>
            <w:tcW w:w="1630" w:type="dxa"/>
          </w:tcPr>
          <w:p>
            <w:pPr>
              <w:pStyle w:val="TableParagraph"/>
              <w:rPr>
                <w:sz w:val="20"/>
              </w:rPr>
            </w:pPr>
            <w:r>
              <w:rPr>
                <w:color w:val="000009"/>
                <w:sz w:val="20"/>
              </w:rPr>
              <w:t>10.97%</w:t>
            </w:r>
          </w:p>
        </w:tc>
        <w:tc>
          <w:tcPr>
            <w:tcW w:w="1388" w:type="dxa"/>
          </w:tcPr>
          <w:p>
            <w:pPr>
              <w:pStyle w:val="TableParagraph"/>
              <w:rPr>
                <w:sz w:val="20"/>
              </w:rPr>
            </w:pPr>
            <w:r>
              <w:rPr>
                <w:color w:val="000009"/>
                <w:sz w:val="20"/>
              </w:rPr>
              <w:t>-7.58%</w:t>
            </w:r>
          </w:p>
        </w:tc>
      </w:tr>
      <w:tr>
        <w:trPr>
          <w:trHeight w:val="341" w:hRule="atLeast"/>
        </w:trPr>
        <w:tc>
          <w:tcPr>
            <w:tcW w:w="914" w:type="dxa"/>
          </w:tcPr>
          <w:p>
            <w:pPr>
              <w:pStyle w:val="TableParagraph"/>
              <w:ind w:left="57" w:right="0"/>
              <w:jc w:val="left"/>
              <w:rPr>
                <w:sz w:val="20"/>
              </w:rPr>
            </w:pPr>
            <w:r>
              <w:rPr>
                <w:color w:val="000009"/>
                <w:sz w:val="20"/>
              </w:rPr>
              <w:t>XOM</w:t>
            </w:r>
          </w:p>
        </w:tc>
        <w:tc>
          <w:tcPr>
            <w:tcW w:w="1242" w:type="dxa"/>
          </w:tcPr>
          <w:p>
            <w:pPr>
              <w:pStyle w:val="TableParagraph"/>
              <w:rPr>
                <w:sz w:val="20"/>
              </w:rPr>
            </w:pPr>
            <w:r>
              <w:rPr>
                <w:color w:val="000009"/>
                <w:sz w:val="20"/>
              </w:rPr>
              <w:t>12.24%</w:t>
            </w:r>
          </w:p>
        </w:tc>
        <w:tc>
          <w:tcPr>
            <w:tcW w:w="1538" w:type="dxa"/>
          </w:tcPr>
          <w:p>
            <w:pPr>
              <w:pStyle w:val="TableParagraph"/>
              <w:rPr>
                <w:sz w:val="20"/>
              </w:rPr>
            </w:pPr>
            <w:r>
              <w:rPr>
                <w:color w:val="000009"/>
                <w:sz w:val="20"/>
              </w:rPr>
              <w:t>-11.75%</w:t>
            </w:r>
          </w:p>
        </w:tc>
        <w:tc>
          <w:tcPr>
            <w:tcW w:w="1520" w:type="dxa"/>
          </w:tcPr>
          <w:p>
            <w:pPr>
              <w:pStyle w:val="TableParagraph"/>
              <w:rPr>
                <w:sz w:val="20"/>
              </w:rPr>
            </w:pPr>
            <w:r>
              <w:rPr>
                <w:color w:val="000009"/>
                <w:sz w:val="20"/>
              </w:rPr>
              <w:t>-3.39%</w:t>
            </w:r>
          </w:p>
        </w:tc>
        <w:tc>
          <w:tcPr>
            <w:tcW w:w="1630" w:type="dxa"/>
          </w:tcPr>
          <w:p>
            <w:pPr>
              <w:pStyle w:val="TableParagraph"/>
              <w:rPr>
                <w:sz w:val="20"/>
              </w:rPr>
            </w:pPr>
            <w:r>
              <w:rPr>
                <w:color w:val="000009"/>
                <w:sz w:val="20"/>
              </w:rPr>
              <w:t>2.85%</w:t>
            </w:r>
          </w:p>
        </w:tc>
        <w:tc>
          <w:tcPr>
            <w:tcW w:w="1388" w:type="dxa"/>
          </w:tcPr>
          <w:p>
            <w:pPr>
              <w:pStyle w:val="TableParagraph"/>
              <w:ind w:right="41"/>
              <w:rPr>
                <w:sz w:val="20"/>
              </w:rPr>
            </w:pPr>
            <w:r>
              <w:rPr>
                <w:color w:val="000009"/>
                <w:sz w:val="20"/>
              </w:rPr>
              <w:t>9.41%</w:t>
            </w:r>
          </w:p>
        </w:tc>
      </w:tr>
      <w:tr>
        <w:trPr>
          <w:trHeight w:val="340" w:hRule="atLeast"/>
        </w:trPr>
        <w:tc>
          <w:tcPr>
            <w:tcW w:w="914" w:type="dxa"/>
          </w:tcPr>
          <w:p>
            <w:pPr>
              <w:pStyle w:val="TableParagraph"/>
              <w:ind w:left="57" w:right="0"/>
              <w:jc w:val="left"/>
              <w:rPr>
                <w:b/>
                <w:sz w:val="20"/>
              </w:rPr>
            </w:pPr>
            <w:r>
              <w:rPr>
                <w:b/>
                <w:color w:val="000009"/>
                <w:sz w:val="20"/>
              </w:rPr>
              <w:t>Ort.</w:t>
            </w:r>
          </w:p>
        </w:tc>
        <w:tc>
          <w:tcPr>
            <w:tcW w:w="1242" w:type="dxa"/>
          </w:tcPr>
          <w:p>
            <w:pPr>
              <w:pStyle w:val="TableParagraph"/>
              <w:ind w:right="41"/>
              <w:rPr>
                <w:b/>
                <w:sz w:val="20"/>
              </w:rPr>
            </w:pPr>
            <w:r>
              <w:rPr>
                <w:b/>
                <w:color w:val="000009"/>
                <w:sz w:val="20"/>
              </w:rPr>
              <w:t>8.60%</w:t>
            </w:r>
          </w:p>
        </w:tc>
        <w:tc>
          <w:tcPr>
            <w:tcW w:w="1538" w:type="dxa"/>
          </w:tcPr>
          <w:p>
            <w:pPr>
              <w:pStyle w:val="TableParagraph"/>
              <w:rPr>
                <w:sz w:val="20"/>
              </w:rPr>
            </w:pPr>
            <w:r>
              <w:rPr>
                <w:color w:val="000009"/>
                <w:sz w:val="20"/>
              </w:rPr>
              <w:t>-3.24%</w:t>
            </w:r>
          </w:p>
        </w:tc>
        <w:tc>
          <w:tcPr>
            <w:tcW w:w="1520" w:type="dxa"/>
          </w:tcPr>
          <w:p>
            <w:pPr>
              <w:pStyle w:val="TableParagraph"/>
              <w:rPr>
                <w:sz w:val="20"/>
              </w:rPr>
            </w:pPr>
            <w:r>
              <w:rPr>
                <w:color w:val="000009"/>
                <w:sz w:val="20"/>
              </w:rPr>
              <w:t>-0.95%</w:t>
            </w:r>
          </w:p>
        </w:tc>
        <w:tc>
          <w:tcPr>
            <w:tcW w:w="1630" w:type="dxa"/>
          </w:tcPr>
          <w:p>
            <w:pPr>
              <w:pStyle w:val="TableParagraph"/>
              <w:rPr>
                <w:sz w:val="20"/>
              </w:rPr>
            </w:pPr>
            <w:r>
              <w:rPr>
                <w:color w:val="000009"/>
                <w:sz w:val="20"/>
              </w:rPr>
              <w:t>1.81%</w:t>
            </w:r>
          </w:p>
        </w:tc>
        <w:tc>
          <w:tcPr>
            <w:tcW w:w="1388" w:type="dxa"/>
          </w:tcPr>
          <w:p>
            <w:pPr>
              <w:pStyle w:val="TableParagraph"/>
              <w:ind w:right="41"/>
              <w:rPr>
                <w:sz w:val="20"/>
              </w:rPr>
            </w:pPr>
            <w:r>
              <w:rPr>
                <w:color w:val="000009"/>
                <w:sz w:val="20"/>
              </w:rPr>
              <w:t>2.92%</w:t>
            </w:r>
          </w:p>
        </w:tc>
      </w:tr>
    </w:tbl>
    <w:p>
      <w:pPr>
        <w:spacing w:before="124"/>
        <w:ind w:left="590" w:right="1460" w:firstLine="0"/>
        <w:jc w:val="left"/>
        <w:rPr>
          <w:i/>
          <w:sz w:val="24"/>
        </w:rPr>
      </w:pPr>
      <w:r>
        <w:rPr>
          <w:i/>
          <w:color w:val="000009"/>
          <w:sz w:val="24"/>
        </w:rPr>
        <w:t>Tablo </w:t>
      </w:r>
      <w:bookmarkStart w:name="_bookmark3" w:id="4"/>
      <w:bookmarkEnd w:id="4"/>
      <w:r>
        <w:rPr>
          <w:i/>
          <w:color w:val="000009"/>
          <w:sz w:val="24"/>
        </w:rPr>
        <w:t>5:</w:t>
      </w:r>
      <w:r>
        <w:rPr>
          <w:i/>
          <w:color w:val="000009"/>
          <w:sz w:val="24"/>
        </w:rPr>
        <w:t> CNN-FA Yöntemine Opsiyon Satın Alma Stratejisi Eklendiğinde Dow Jones </w:t>
      </w:r>
      <w:r>
        <w:rPr>
          <w:i/>
          <w:color w:val="000009"/>
          <w:sz w:val="24"/>
        </w:rPr>
        <w:t>30 Endeksinde Bulunan Hisse Senetlerinin Yıllık Ortalama Kârları</w:t>
      </w:r>
    </w:p>
    <w:p>
      <w:pPr>
        <w:spacing w:after="0"/>
        <w:jc w:val="left"/>
        <w:rPr>
          <w:sz w:val="24"/>
        </w:rPr>
        <w:sectPr>
          <w:pgSz w:w="11910" w:h="16840"/>
          <w:pgMar w:header="0" w:footer="1050" w:top="1400" w:bottom="1240" w:left="1680" w:right="0"/>
        </w:sectPr>
      </w:pPr>
    </w:p>
    <w:p>
      <w:pPr>
        <w:pStyle w:val="Heading2"/>
        <w:numPr>
          <w:ilvl w:val="1"/>
          <w:numId w:val="1"/>
        </w:numPr>
        <w:tabs>
          <w:tab w:pos="950" w:val="left" w:leader="none"/>
        </w:tabs>
        <w:spacing w:line="240" w:lineRule="auto" w:before="184" w:after="0"/>
        <w:ind w:left="950" w:right="0" w:hanging="360"/>
        <w:jc w:val="both"/>
      </w:pPr>
      <w:r>
        <w:rPr>
          <w:color w:val="000009"/>
        </w:rPr>
        <w:t>Short Call ve Short Put Stratejilerinin</w:t>
      </w:r>
      <w:r>
        <w:rPr>
          <w:color w:val="000009"/>
          <w:spacing w:val="-2"/>
        </w:rPr>
        <w:t> </w:t>
      </w:r>
      <w:r>
        <w:rPr>
          <w:color w:val="000009"/>
        </w:rPr>
        <w:t>Eklenmesi</w:t>
      </w:r>
    </w:p>
    <w:p>
      <w:pPr>
        <w:pStyle w:val="BodyText"/>
        <w:rPr>
          <w:b/>
          <w:sz w:val="26"/>
        </w:rPr>
      </w:pPr>
    </w:p>
    <w:p>
      <w:pPr>
        <w:pStyle w:val="BodyText"/>
        <w:spacing w:line="360" w:lineRule="auto" w:before="199"/>
        <w:ind w:left="590" w:right="1416"/>
        <w:jc w:val="both"/>
      </w:pPr>
      <w:r>
        <w:rPr>
          <w:color w:val="000009"/>
        </w:rPr>
        <w:t>Bir önceki çalışmada başarımın artmamasının sebebinin “</w:t>
      </w:r>
      <w:r>
        <w:rPr>
          <w:i/>
          <w:color w:val="000009"/>
        </w:rPr>
        <w:t>Yapay Sinir Ağı Destekli </w:t>
      </w:r>
      <w:r>
        <w:rPr>
          <w:i/>
          <w:color w:val="000009"/>
        </w:rPr>
        <w:t>Opsiyon Stratejisi</w:t>
      </w:r>
      <w:r>
        <w:rPr>
          <w:color w:val="000009"/>
        </w:rPr>
        <w:t>” başlığının “</w:t>
      </w:r>
      <w:r>
        <w:rPr>
          <w:i/>
          <w:color w:val="000009"/>
        </w:rPr>
        <w:t>Giriş</w:t>
      </w:r>
      <w:r>
        <w:rPr>
          <w:color w:val="000009"/>
        </w:rPr>
        <w:t>” alt başlığında anlatıldığı gibi ‘opsiyonun kendisine ödenen para’ olduğu düşünülerek opsiyon satın alma yerine opsiyon satma stratejisi denenmiştir. Böylece opsiyonun kullanma tarihi yaklaştıkça değerinin azalmasının oluşturduğu zararın kâra dönüşmesi planlanmıştır.</w:t>
      </w:r>
    </w:p>
    <w:p>
      <w:pPr>
        <w:pStyle w:val="BodyText"/>
        <w:spacing w:before="10"/>
        <w:rPr>
          <w:sz w:val="20"/>
        </w:rPr>
      </w:pPr>
    </w:p>
    <w:p>
      <w:pPr>
        <w:pStyle w:val="BodyText"/>
        <w:spacing w:line="360" w:lineRule="auto"/>
        <w:ind w:left="590" w:right="1417"/>
        <w:jc w:val="both"/>
      </w:pPr>
      <w:r>
        <w:rPr>
          <w:color w:val="000009"/>
        </w:rPr>
        <w:t>Bu stratejide CNN tarafından “al” sinyali üretildiğinde varlığı “1 ay sonra şimdiki fiyatının %2 üzerinden satma hakkı” açığa satılmıştır. Bu durumda 1 ay sonra varlığın fiyatı %2 veya daha fazla artarsa opsiyonu alan kişi opsiyonu kullanmayacak ve alınan paranın tamamı kâr olarak yazılacaktır. %2’den az artması durumunda ise zarar edilse de zararın bir kısmı sözleşme yapılırken alınan para nedeniyle azalacaktır. CNN’in “sat” sinyali ürettiği günlerde ise varlığı “1 ay sonra şimdiki fiyatının %2 altından satın alma hakkı” açığa satılmıştır. Benzer şekilde</w:t>
      </w:r>
      <w:r>
        <w:rPr>
          <w:color w:val="000009"/>
          <w:spacing w:val="17"/>
        </w:rPr>
        <w:t> </w:t>
      </w:r>
      <w:r>
        <w:rPr>
          <w:color w:val="000009"/>
        </w:rPr>
        <w:t>fiyatın</w:t>
      </w:r>
    </w:p>
    <w:p>
      <w:pPr>
        <w:pStyle w:val="BodyText"/>
        <w:spacing w:line="360" w:lineRule="auto"/>
        <w:ind w:left="590" w:right="1415"/>
        <w:jc w:val="both"/>
      </w:pPr>
      <w:r>
        <w:rPr>
          <w:color w:val="000009"/>
        </w:rPr>
        <w:t>%2’den fazla düşmesi durumunda alınan paranın tamamı kâr olacak, daha az  düşmesi veya yükselmesi durumunda edilen zararın bir kısmı başlangıçta alınan para ile telafi</w:t>
      </w:r>
      <w:r>
        <w:rPr>
          <w:color w:val="000009"/>
          <w:spacing w:val="-1"/>
        </w:rPr>
        <w:t> </w:t>
      </w:r>
      <w:r>
        <w:rPr>
          <w:color w:val="000009"/>
        </w:rPr>
        <w:t>edilecektir.</w:t>
      </w:r>
    </w:p>
    <w:p>
      <w:pPr>
        <w:pStyle w:val="BodyText"/>
        <w:spacing w:before="5"/>
        <w:rPr>
          <w:sz w:val="10"/>
        </w:rPr>
      </w:pPr>
    </w:p>
    <w:tbl>
      <w:tblPr>
        <w:tblW w:w="0" w:type="auto"/>
        <w:jc w:val="left"/>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242"/>
        <w:gridCol w:w="1258"/>
        <w:gridCol w:w="1536"/>
        <w:gridCol w:w="1800"/>
        <w:gridCol w:w="1482"/>
      </w:tblGrid>
      <w:tr>
        <w:trPr>
          <w:trHeight w:val="342" w:hRule="atLeast"/>
        </w:trPr>
        <w:tc>
          <w:tcPr>
            <w:tcW w:w="914" w:type="dxa"/>
            <w:vMerge w:val="restart"/>
          </w:tcPr>
          <w:p>
            <w:pPr>
              <w:pStyle w:val="TableParagraph"/>
              <w:spacing w:before="11"/>
              <w:ind w:right="0"/>
              <w:jc w:val="left"/>
              <w:rPr>
                <w:sz w:val="24"/>
              </w:rPr>
            </w:pPr>
          </w:p>
          <w:p>
            <w:pPr>
              <w:pStyle w:val="TableParagraph"/>
              <w:spacing w:before="0"/>
              <w:ind w:left="263" w:right="0"/>
              <w:jc w:val="left"/>
              <w:rPr>
                <w:b/>
                <w:sz w:val="20"/>
              </w:rPr>
            </w:pPr>
            <w:r>
              <w:rPr>
                <w:b/>
                <w:color w:val="000009"/>
                <w:sz w:val="20"/>
              </w:rPr>
              <w:t>ETF</w:t>
            </w:r>
          </w:p>
        </w:tc>
        <w:tc>
          <w:tcPr>
            <w:tcW w:w="1242" w:type="dxa"/>
            <w:vMerge w:val="restart"/>
          </w:tcPr>
          <w:p>
            <w:pPr>
              <w:pStyle w:val="TableParagraph"/>
              <w:spacing w:line="242" w:lineRule="auto"/>
              <w:ind w:left="283" w:right="69" w:hanging="180"/>
              <w:jc w:val="left"/>
              <w:rPr>
                <w:b/>
                <w:sz w:val="20"/>
              </w:rPr>
            </w:pPr>
            <w:r>
              <w:rPr>
                <w:b/>
                <w:color w:val="000009"/>
                <w:sz w:val="20"/>
              </w:rPr>
              <w:t>Opsiyonsuz, KD, ZD</w:t>
            </w:r>
          </w:p>
        </w:tc>
        <w:tc>
          <w:tcPr>
            <w:tcW w:w="6076" w:type="dxa"/>
            <w:gridSpan w:val="4"/>
          </w:tcPr>
          <w:p>
            <w:pPr>
              <w:pStyle w:val="TableParagraph"/>
              <w:ind w:left="2120" w:right="2109"/>
              <w:jc w:val="center"/>
              <w:rPr>
                <w:b/>
                <w:sz w:val="20"/>
              </w:rPr>
            </w:pPr>
            <w:r>
              <w:rPr>
                <w:b/>
                <w:color w:val="000009"/>
                <w:sz w:val="20"/>
              </w:rPr>
              <w:t>Opsiyon Satıldığında</w:t>
            </w:r>
          </w:p>
        </w:tc>
      </w:tr>
      <w:tr>
        <w:trPr>
          <w:trHeight w:val="340" w:hRule="atLeast"/>
        </w:trPr>
        <w:tc>
          <w:tcPr>
            <w:tcW w:w="914" w:type="dxa"/>
            <w:vMerge/>
            <w:tcBorders>
              <w:top w:val="nil"/>
            </w:tcBorders>
          </w:tcPr>
          <w:p>
            <w:pPr>
              <w:rPr>
                <w:sz w:val="2"/>
                <w:szCs w:val="2"/>
              </w:rPr>
            </w:pPr>
          </w:p>
        </w:tc>
        <w:tc>
          <w:tcPr>
            <w:tcW w:w="1242" w:type="dxa"/>
            <w:vMerge/>
            <w:tcBorders>
              <w:top w:val="nil"/>
            </w:tcBorders>
          </w:tcPr>
          <w:p>
            <w:pPr>
              <w:rPr>
                <w:sz w:val="2"/>
                <w:szCs w:val="2"/>
              </w:rPr>
            </w:pPr>
          </w:p>
        </w:tc>
        <w:tc>
          <w:tcPr>
            <w:tcW w:w="1258" w:type="dxa"/>
          </w:tcPr>
          <w:p>
            <w:pPr>
              <w:pStyle w:val="TableParagraph"/>
              <w:spacing w:before="0"/>
              <w:ind w:right="0"/>
              <w:jc w:val="left"/>
              <w:rPr>
                <w:rFonts w:ascii="Times New Roman"/>
                <w:sz w:val="22"/>
              </w:rPr>
            </w:pPr>
          </w:p>
        </w:tc>
        <w:tc>
          <w:tcPr>
            <w:tcW w:w="1536" w:type="dxa"/>
          </w:tcPr>
          <w:p>
            <w:pPr>
              <w:pStyle w:val="TableParagraph"/>
              <w:ind w:left="612" w:right="596"/>
              <w:jc w:val="center"/>
              <w:rPr>
                <w:b/>
                <w:sz w:val="20"/>
              </w:rPr>
            </w:pPr>
            <w:r>
              <w:rPr>
                <w:b/>
                <w:color w:val="000009"/>
                <w:sz w:val="20"/>
              </w:rPr>
              <w:t>ZD</w:t>
            </w:r>
          </w:p>
        </w:tc>
        <w:tc>
          <w:tcPr>
            <w:tcW w:w="1800" w:type="dxa"/>
          </w:tcPr>
          <w:p>
            <w:pPr>
              <w:pStyle w:val="TableParagraph"/>
              <w:ind w:left="732" w:right="718"/>
              <w:jc w:val="center"/>
              <w:rPr>
                <w:b/>
                <w:sz w:val="20"/>
              </w:rPr>
            </w:pPr>
            <w:r>
              <w:rPr>
                <w:b/>
                <w:color w:val="000009"/>
                <w:sz w:val="20"/>
              </w:rPr>
              <w:t>KD</w:t>
            </w:r>
          </w:p>
        </w:tc>
        <w:tc>
          <w:tcPr>
            <w:tcW w:w="1482" w:type="dxa"/>
          </w:tcPr>
          <w:p>
            <w:pPr>
              <w:pStyle w:val="TableParagraph"/>
              <w:ind w:left="403" w:right="0"/>
              <w:jc w:val="left"/>
              <w:rPr>
                <w:b/>
                <w:sz w:val="20"/>
              </w:rPr>
            </w:pPr>
            <w:r>
              <w:rPr>
                <w:b/>
                <w:color w:val="000009"/>
                <w:sz w:val="20"/>
              </w:rPr>
              <w:t>ZD, KD</w:t>
            </w:r>
          </w:p>
        </w:tc>
      </w:tr>
      <w:tr>
        <w:trPr>
          <w:trHeight w:val="341" w:hRule="atLeast"/>
        </w:trPr>
        <w:tc>
          <w:tcPr>
            <w:tcW w:w="914" w:type="dxa"/>
          </w:tcPr>
          <w:p>
            <w:pPr>
              <w:pStyle w:val="TableParagraph"/>
              <w:ind w:left="57" w:right="0"/>
              <w:jc w:val="left"/>
              <w:rPr>
                <w:sz w:val="20"/>
              </w:rPr>
            </w:pPr>
            <w:r>
              <w:rPr>
                <w:color w:val="000009"/>
                <w:sz w:val="20"/>
              </w:rPr>
              <w:t>XLF</w:t>
            </w:r>
          </w:p>
        </w:tc>
        <w:tc>
          <w:tcPr>
            <w:tcW w:w="1242" w:type="dxa"/>
          </w:tcPr>
          <w:p>
            <w:pPr>
              <w:pStyle w:val="TableParagraph"/>
              <w:rPr>
                <w:sz w:val="20"/>
              </w:rPr>
            </w:pPr>
            <w:r>
              <w:rPr>
                <w:color w:val="000009"/>
                <w:sz w:val="20"/>
              </w:rPr>
              <w:t>27.81%</w:t>
            </w:r>
          </w:p>
        </w:tc>
        <w:tc>
          <w:tcPr>
            <w:tcW w:w="1258" w:type="dxa"/>
          </w:tcPr>
          <w:p>
            <w:pPr>
              <w:pStyle w:val="TableParagraph"/>
              <w:ind w:right="41"/>
              <w:rPr>
                <w:sz w:val="20"/>
              </w:rPr>
            </w:pPr>
            <w:r>
              <w:rPr>
                <w:color w:val="000009"/>
                <w:sz w:val="20"/>
              </w:rPr>
              <w:t>14.08%</w:t>
            </w:r>
          </w:p>
        </w:tc>
        <w:tc>
          <w:tcPr>
            <w:tcW w:w="1536" w:type="dxa"/>
          </w:tcPr>
          <w:p>
            <w:pPr>
              <w:pStyle w:val="TableParagraph"/>
              <w:rPr>
                <w:sz w:val="20"/>
              </w:rPr>
            </w:pPr>
            <w:r>
              <w:rPr>
                <w:color w:val="000009"/>
                <w:sz w:val="20"/>
              </w:rPr>
              <w:t>22.92%</w:t>
            </w:r>
          </w:p>
        </w:tc>
        <w:tc>
          <w:tcPr>
            <w:tcW w:w="1800" w:type="dxa"/>
          </w:tcPr>
          <w:p>
            <w:pPr>
              <w:pStyle w:val="TableParagraph"/>
              <w:rPr>
                <w:sz w:val="20"/>
              </w:rPr>
            </w:pPr>
            <w:r>
              <w:rPr>
                <w:color w:val="000009"/>
                <w:sz w:val="20"/>
              </w:rPr>
              <w:t>11.41%</w:t>
            </w:r>
          </w:p>
        </w:tc>
        <w:tc>
          <w:tcPr>
            <w:tcW w:w="1482" w:type="dxa"/>
          </w:tcPr>
          <w:p>
            <w:pPr>
              <w:pStyle w:val="TableParagraph"/>
              <w:ind w:right="41"/>
              <w:rPr>
                <w:sz w:val="20"/>
              </w:rPr>
            </w:pPr>
            <w:r>
              <w:rPr>
                <w:color w:val="000009"/>
                <w:sz w:val="20"/>
              </w:rPr>
              <w:t>8.74%</w:t>
            </w:r>
          </w:p>
        </w:tc>
      </w:tr>
      <w:tr>
        <w:trPr>
          <w:trHeight w:val="340" w:hRule="atLeast"/>
        </w:trPr>
        <w:tc>
          <w:tcPr>
            <w:tcW w:w="914" w:type="dxa"/>
          </w:tcPr>
          <w:p>
            <w:pPr>
              <w:pStyle w:val="TableParagraph"/>
              <w:ind w:left="57" w:right="0"/>
              <w:jc w:val="left"/>
              <w:rPr>
                <w:sz w:val="20"/>
              </w:rPr>
            </w:pPr>
            <w:r>
              <w:rPr>
                <w:color w:val="000009"/>
                <w:sz w:val="20"/>
              </w:rPr>
              <w:t>XLU</w:t>
            </w:r>
          </w:p>
        </w:tc>
        <w:tc>
          <w:tcPr>
            <w:tcW w:w="1242" w:type="dxa"/>
          </w:tcPr>
          <w:p>
            <w:pPr>
              <w:pStyle w:val="TableParagraph"/>
              <w:rPr>
                <w:sz w:val="20"/>
              </w:rPr>
            </w:pPr>
            <w:r>
              <w:rPr>
                <w:color w:val="000009"/>
                <w:sz w:val="20"/>
              </w:rPr>
              <w:t>12.13%</w:t>
            </w:r>
          </w:p>
        </w:tc>
        <w:tc>
          <w:tcPr>
            <w:tcW w:w="1258" w:type="dxa"/>
          </w:tcPr>
          <w:p>
            <w:pPr>
              <w:pStyle w:val="TableParagraph"/>
              <w:ind w:right="41"/>
              <w:rPr>
                <w:sz w:val="20"/>
              </w:rPr>
            </w:pPr>
            <w:r>
              <w:rPr>
                <w:color w:val="000009"/>
                <w:sz w:val="20"/>
              </w:rPr>
              <w:t>10.75%</w:t>
            </w:r>
          </w:p>
        </w:tc>
        <w:tc>
          <w:tcPr>
            <w:tcW w:w="1536" w:type="dxa"/>
          </w:tcPr>
          <w:p>
            <w:pPr>
              <w:pStyle w:val="TableParagraph"/>
              <w:rPr>
                <w:sz w:val="20"/>
              </w:rPr>
            </w:pPr>
            <w:r>
              <w:rPr>
                <w:color w:val="000009"/>
                <w:sz w:val="20"/>
              </w:rPr>
              <w:t>7.07%</w:t>
            </w:r>
          </w:p>
        </w:tc>
        <w:tc>
          <w:tcPr>
            <w:tcW w:w="1800" w:type="dxa"/>
          </w:tcPr>
          <w:p>
            <w:pPr>
              <w:pStyle w:val="TableParagraph"/>
              <w:rPr>
                <w:sz w:val="20"/>
              </w:rPr>
            </w:pPr>
            <w:r>
              <w:rPr>
                <w:color w:val="000009"/>
                <w:sz w:val="20"/>
              </w:rPr>
              <w:t>3.01%</w:t>
            </w:r>
          </w:p>
        </w:tc>
        <w:tc>
          <w:tcPr>
            <w:tcW w:w="1482" w:type="dxa"/>
          </w:tcPr>
          <w:p>
            <w:pPr>
              <w:pStyle w:val="TableParagraph"/>
              <w:ind w:right="41"/>
              <w:rPr>
                <w:sz w:val="20"/>
              </w:rPr>
            </w:pPr>
            <w:r>
              <w:rPr>
                <w:color w:val="000009"/>
                <w:sz w:val="20"/>
              </w:rPr>
              <w:t>0.14%</w:t>
            </w:r>
          </w:p>
        </w:tc>
      </w:tr>
      <w:tr>
        <w:trPr>
          <w:trHeight w:val="342" w:hRule="atLeast"/>
        </w:trPr>
        <w:tc>
          <w:tcPr>
            <w:tcW w:w="914" w:type="dxa"/>
          </w:tcPr>
          <w:p>
            <w:pPr>
              <w:pStyle w:val="TableParagraph"/>
              <w:ind w:left="57" w:right="0"/>
              <w:jc w:val="left"/>
              <w:rPr>
                <w:sz w:val="20"/>
              </w:rPr>
            </w:pPr>
            <w:r>
              <w:rPr>
                <w:color w:val="000009"/>
                <w:sz w:val="20"/>
              </w:rPr>
              <w:t>QQQ</w:t>
            </w:r>
          </w:p>
        </w:tc>
        <w:tc>
          <w:tcPr>
            <w:tcW w:w="1242" w:type="dxa"/>
          </w:tcPr>
          <w:p>
            <w:pPr>
              <w:pStyle w:val="TableParagraph"/>
              <w:rPr>
                <w:sz w:val="20"/>
              </w:rPr>
            </w:pPr>
            <w:r>
              <w:rPr>
                <w:color w:val="000009"/>
                <w:sz w:val="20"/>
              </w:rPr>
              <w:t>6.14%</w:t>
            </w:r>
          </w:p>
        </w:tc>
        <w:tc>
          <w:tcPr>
            <w:tcW w:w="1258" w:type="dxa"/>
          </w:tcPr>
          <w:p>
            <w:pPr>
              <w:pStyle w:val="TableParagraph"/>
              <w:ind w:right="41"/>
              <w:rPr>
                <w:sz w:val="20"/>
              </w:rPr>
            </w:pPr>
            <w:r>
              <w:rPr>
                <w:color w:val="000009"/>
                <w:sz w:val="20"/>
              </w:rPr>
              <w:t>22.11%</w:t>
            </w:r>
          </w:p>
        </w:tc>
        <w:tc>
          <w:tcPr>
            <w:tcW w:w="1536" w:type="dxa"/>
          </w:tcPr>
          <w:p>
            <w:pPr>
              <w:pStyle w:val="TableParagraph"/>
              <w:rPr>
                <w:sz w:val="20"/>
              </w:rPr>
            </w:pPr>
            <w:r>
              <w:rPr>
                <w:color w:val="000009"/>
                <w:sz w:val="20"/>
              </w:rPr>
              <w:t>17.56%</w:t>
            </w:r>
          </w:p>
        </w:tc>
        <w:tc>
          <w:tcPr>
            <w:tcW w:w="1800" w:type="dxa"/>
          </w:tcPr>
          <w:p>
            <w:pPr>
              <w:pStyle w:val="TableParagraph"/>
              <w:rPr>
                <w:sz w:val="20"/>
              </w:rPr>
            </w:pPr>
            <w:r>
              <w:rPr>
                <w:color w:val="000009"/>
                <w:sz w:val="20"/>
              </w:rPr>
              <w:t>9.31%</w:t>
            </w:r>
          </w:p>
        </w:tc>
        <w:tc>
          <w:tcPr>
            <w:tcW w:w="1482" w:type="dxa"/>
          </w:tcPr>
          <w:p>
            <w:pPr>
              <w:pStyle w:val="TableParagraph"/>
              <w:ind w:right="41"/>
              <w:rPr>
                <w:sz w:val="20"/>
              </w:rPr>
            </w:pPr>
            <w:r>
              <w:rPr>
                <w:color w:val="000009"/>
                <w:sz w:val="20"/>
              </w:rPr>
              <w:t>2.25%</w:t>
            </w:r>
          </w:p>
        </w:tc>
      </w:tr>
      <w:tr>
        <w:trPr>
          <w:trHeight w:val="340" w:hRule="atLeast"/>
        </w:trPr>
        <w:tc>
          <w:tcPr>
            <w:tcW w:w="914" w:type="dxa"/>
          </w:tcPr>
          <w:p>
            <w:pPr>
              <w:pStyle w:val="TableParagraph"/>
              <w:ind w:left="57" w:right="0"/>
              <w:jc w:val="left"/>
              <w:rPr>
                <w:sz w:val="20"/>
              </w:rPr>
            </w:pPr>
            <w:r>
              <w:rPr>
                <w:color w:val="000009"/>
                <w:sz w:val="20"/>
              </w:rPr>
              <w:t>SPY</w:t>
            </w:r>
          </w:p>
        </w:tc>
        <w:tc>
          <w:tcPr>
            <w:tcW w:w="1242" w:type="dxa"/>
          </w:tcPr>
          <w:p>
            <w:pPr>
              <w:pStyle w:val="TableParagraph"/>
              <w:rPr>
                <w:sz w:val="20"/>
              </w:rPr>
            </w:pPr>
            <w:r>
              <w:rPr>
                <w:color w:val="000009"/>
                <w:sz w:val="20"/>
              </w:rPr>
              <w:t>12.19%</w:t>
            </w:r>
          </w:p>
        </w:tc>
        <w:tc>
          <w:tcPr>
            <w:tcW w:w="1258" w:type="dxa"/>
          </w:tcPr>
          <w:p>
            <w:pPr>
              <w:pStyle w:val="TableParagraph"/>
              <w:ind w:right="41"/>
              <w:rPr>
                <w:sz w:val="20"/>
              </w:rPr>
            </w:pPr>
            <w:r>
              <w:rPr>
                <w:color w:val="000009"/>
                <w:sz w:val="20"/>
              </w:rPr>
              <w:t>5.20%</w:t>
            </w:r>
          </w:p>
        </w:tc>
        <w:tc>
          <w:tcPr>
            <w:tcW w:w="1536" w:type="dxa"/>
          </w:tcPr>
          <w:p>
            <w:pPr>
              <w:pStyle w:val="TableParagraph"/>
              <w:rPr>
                <w:sz w:val="20"/>
              </w:rPr>
            </w:pPr>
            <w:r>
              <w:rPr>
                <w:color w:val="000009"/>
                <w:sz w:val="20"/>
              </w:rPr>
              <w:t>11.03%</w:t>
            </w:r>
          </w:p>
        </w:tc>
        <w:tc>
          <w:tcPr>
            <w:tcW w:w="1800" w:type="dxa"/>
          </w:tcPr>
          <w:p>
            <w:pPr>
              <w:pStyle w:val="TableParagraph"/>
              <w:rPr>
                <w:sz w:val="20"/>
              </w:rPr>
            </w:pPr>
            <w:r>
              <w:rPr>
                <w:color w:val="000009"/>
                <w:sz w:val="20"/>
              </w:rPr>
              <w:t>10.99%</w:t>
            </w:r>
          </w:p>
        </w:tc>
        <w:tc>
          <w:tcPr>
            <w:tcW w:w="1482" w:type="dxa"/>
          </w:tcPr>
          <w:p>
            <w:pPr>
              <w:pStyle w:val="TableParagraph"/>
              <w:ind w:right="41"/>
              <w:rPr>
                <w:sz w:val="20"/>
              </w:rPr>
            </w:pPr>
            <w:r>
              <w:rPr>
                <w:color w:val="000009"/>
                <w:sz w:val="20"/>
              </w:rPr>
              <w:t>6.13%</w:t>
            </w:r>
          </w:p>
        </w:tc>
      </w:tr>
      <w:tr>
        <w:trPr>
          <w:trHeight w:val="342" w:hRule="atLeast"/>
        </w:trPr>
        <w:tc>
          <w:tcPr>
            <w:tcW w:w="914" w:type="dxa"/>
          </w:tcPr>
          <w:p>
            <w:pPr>
              <w:pStyle w:val="TableParagraph"/>
              <w:ind w:left="57" w:right="0"/>
              <w:jc w:val="left"/>
              <w:rPr>
                <w:sz w:val="20"/>
              </w:rPr>
            </w:pPr>
            <w:r>
              <w:rPr>
                <w:color w:val="000009"/>
                <w:sz w:val="20"/>
              </w:rPr>
              <w:t>XLP</w:t>
            </w:r>
          </w:p>
        </w:tc>
        <w:tc>
          <w:tcPr>
            <w:tcW w:w="1242" w:type="dxa"/>
          </w:tcPr>
          <w:p>
            <w:pPr>
              <w:pStyle w:val="TableParagraph"/>
              <w:rPr>
                <w:sz w:val="20"/>
              </w:rPr>
            </w:pPr>
            <w:r>
              <w:rPr>
                <w:color w:val="000009"/>
                <w:sz w:val="20"/>
              </w:rPr>
              <w:t>12.72%</w:t>
            </w:r>
          </w:p>
        </w:tc>
        <w:tc>
          <w:tcPr>
            <w:tcW w:w="1258" w:type="dxa"/>
          </w:tcPr>
          <w:p>
            <w:pPr>
              <w:pStyle w:val="TableParagraph"/>
              <w:ind w:right="41"/>
              <w:rPr>
                <w:sz w:val="20"/>
              </w:rPr>
            </w:pPr>
            <w:r>
              <w:rPr>
                <w:color w:val="000009"/>
                <w:sz w:val="20"/>
              </w:rPr>
              <w:t>13.18%</w:t>
            </w:r>
          </w:p>
        </w:tc>
        <w:tc>
          <w:tcPr>
            <w:tcW w:w="1536" w:type="dxa"/>
          </w:tcPr>
          <w:p>
            <w:pPr>
              <w:pStyle w:val="TableParagraph"/>
              <w:rPr>
                <w:sz w:val="20"/>
              </w:rPr>
            </w:pPr>
            <w:r>
              <w:rPr>
                <w:color w:val="000009"/>
                <w:sz w:val="20"/>
              </w:rPr>
              <w:t>15.43%</w:t>
            </w:r>
          </w:p>
        </w:tc>
        <w:tc>
          <w:tcPr>
            <w:tcW w:w="1800" w:type="dxa"/>
          </w:tcPr>
          <w:p>
            <w:pPr>
              <w:pStyle w:val="TableParagraph"/>
              <w:rPr>
                <w:sz w:val="20"/>
              </w:rPr>
            </w:pPr>
            <w:r>
              <w:rPr>
                <w:color w:val="000009"/>
                <w:sz w:val="20"/>
              </w:rPr>
              <w:t>10.21%</w:t>
            </w:r>
          </w:p>
        </w:tc>
        <w:tc>
          <w:tcPr>
            <w:tcW w:w="1482" w:type="dxa"/>
          </w:tcPr>
          <w:p>
            <w:pPr>
              <w:pStyle w:val="TableParagraph"/>
              <w:ind w:right="41"/>
              <w:rPr>
                <w:sz w:val="20"/>
              </w:rPr>
            </w:pPr>
            <w:r>
              <w:rPr>
                <w:color w:val="000009"/>
                <w:sz w:val="20"/>
              </w:rPr>
              <w:t>17.17%</w:t>
            </w:r>
          </w:p>
        </w:tc>
      </w:tr>
      <w:tr>
        <w:trPr>
          <w:trHeight w:val="339" w:hRule="atLeast"/>
        </w:trPr>
        <w:tc>
          <w:tcPr>
            <w:tcW w:w="914" w:type="dxa"/>
          </w:tcPr>
          <w:p>
            <w:pPr>
              <w:pStyle w:val="TableParagraph"/>
              <w:ind w:left="57" w:right="0"/>
              <w:jc w:val="left"/>
              <w:rPr>
                <w:sz w:val="20"/>
              </w:rPr>
            </w:pPr>
            <w:r>
              <w:rPr>
                <w:color w:val="000009"/>
                <w:sz w:val="20"/>
              </w:rPr>
              <w:t>EWZ</w:t>
            </w:r>
          </w:p>
        </w:tc>
        <w:tc>
          <w:tcPr>
            <w:tcW w:w="1242" w:type="dxa"/>
          </w:tcPr>
          <w:p>
            <w:pPr>
              <w:pStyle w:val="TableParagraph"/>
              <w:rPr>
                <w:sz w:val="20"/>
              </w:rPr>
            </w:pPr>
            <w:r>
              <w:rPr>
                <w:color w:val="000009"/>
                <w:sz w:val="20"/>
              </w:rPr>
              <w:t>-10.65%</w:t>
            </w:r>
          </w:p>
        </w:tc>
        <w:tc>
          <w:tcPr>
            <w:tcW w:w="1258" w:type="dxa"/>
          </w:tcPr>
          <w:p>
            <w:pPr>
              <w:pStyle w:val="TableParagraph"/>
              <w:ind w:right="41"/>
              <w:rPr>
                <w:sz w:val="20"/>
              </w:rPr>
            </w:pPr>
            <w:r>
              <w:rPr>
                <w:color w:val="000009"/>
                <w:sz w:val="20"/>
              </w:rPr>
              <w:t>4.43%</w:t>
            </w:r>
          </w:p>
        </w:tc>
        <w:tc>
          <w:tcPr>
            <w:tcW w:w="1536" w:type="dxa"/>
          </w:tcPr>
          <w:p>
            <w:pPr>
              <w:pStyle w:val="TableParagraph"/>
              <w:rPr>
                <w:sz w:val="20"/>
              </w:rPr>
            </w:pPr>
            <w:r>
              <w:rPr>
                <w:color w:val="000009"/>
                <w:sz w:val="20"/>
              </w:rPr>
              <w:t>11.68%</w:t>
            </w:r>
          </w:p>
        </w:tc>
        <w:tc>
          <w:tcPr>
            <w:tcW w:w="1800" w:type="dxa"/>
          </w:tcPr>
          <w:p>
            <w:pPr>
              <w:pStyle w:val="TableParagraph"/>
              <w:rPr>
                <w:sz w:val="20"/>
              </w:rPr>
            </w:pPr>
            <w:r>
              <w:rPr>
                <w:color w:val="000009"/>
                <w:sz w:val="20"/>
              </w:rPr>
              <w:t>5.89%</w:t>
            </w:r>
          </w:p>
        </w:tc>
        <w:tc>
          <w:tcPr>
            <w:tcW w:w="1482" w:type="dxa"/>
          </w:tcPr>
          <w:p>
            <w:pPr>
              <w:pStyle w:val="TableParagraph"/>
              <w:ind w:right="41"/>
              <w:rPr>
                <w:sz w:val="20"/>
              </w:rPr>
            </w:pPr>
            <w:r>
              <w:rPr>
                <w:color w:val="000009"/>
                <w:sz w:val="20"/>
              </w:rPr>
              <w:t>3.20%</w:t>
            </w:r>
          </w:p>
        </w:tc>
      </w:tr>
      <w:tr>
        <w:trPr>
          <w:trHeight w:val="341" w:hRule="atLeast"/>
        </w:trPr>
        <w:tc>
          <w:tcPr>
            <w:tcW w:w="914" w:type="dxa"/>
          </w:tcPr>
          <w:p>
            <w:pPr>
              <w:pStyle w:val="TableParagraph"/>
              <w:ind w:left="57" w:right="0"/>
              <w:jc w:val="left"/>
              <w:rPr>
                <w:sz w:val="20"/>
              </w:rPr>
            </w:pPr>
            <w:r>
              <w:rPr>
                <w:color w:val="000009"/>
                <w:sz w:val="20"/>
              </w:rPr>
              <w:t>EWH</w:t>
            </w:r>
          </w:p>
        </w:tc>
        <w:tc>
          <w:tcPr>
            <w:tcW w:w="1242" w:type="dxa"/>
          </w:tcPr>
          <w:p>
            <w:pPr>
              <w:pStyle w:val="TableParagraph"/>
              <w:rPr>
                <w:sz w:val="20"/>
              </w:rPr>
            </w:pPr>
            <w:r>
              <w:rPr>
                <w:color w:val="000009"/>
                <w:sz w:val="20"/>
              </w:rPr>
              <w:t>22.20%</w:t>
            </w:r>
          </w:p>
        </w:tc>
        <w:tc>
          <w:tcPr>
            <w:tcW w:w="1258" w:type="dxa"/>
          </w:tcPr>
          <w:p>
            <w:pPr>
              <w:pStyle w:val="TableParagraph"/>
              <w:ind w:right="41"/>
              <w:rPr>
                <w:sz w:val="20"/>
              </w:rPr>
            </w:pPr>
            <w:r>
              <w:rPr>
                <w:color w:val="000009"/>
                <w:sz w:val="20"/>
              </w:rPr>
              <w:t>14.43%</w:t>
            </w:r>
          </w:p>
        </w:tc>
        <w:tc>
          <w:tcPr>
            <w:tcW w:w="1536" w:type="dxa"/>
          </w:tcPr>
          <w:p>
            <w:pPr>
              <w:pStyle w:val="TableParagraph"/>
              <w:rPr>
                <w:sz w:val="20"/>
              </w:rPr>
            </w:pPr>
            <w:r>
              <w:rPr>
                <w:color w:val="000009"/>
                <w:sz w:val="20"/>
              </w:rPr>
              <w:t>10.58%</w:t>
            </w:r>
          </w:p>
        </w:tc>
        <w:tc>
          <w:tcPr>
            <w:tcW w:w="1800" w:type="dxa"/>
          </w:tcPr>
          <w:p>
            <w:pPr>
              <w:pStyle w:val="TableParagraph"/>
              <w:rPr>
                <w:sz w:val="20"/>
              </w:rPr>
            </w:pPr>
            <w:r>
              <w:rPr>
                <w:color w:val="000009"/>
                <w:sz w:val="20"/>
              </w:rPr>
              <w:t>18.10%</w:t>
            </w:r>
          </w:p>
        </w:tc>
        <w:tc>
          <w:tcPr>
            <w:tcW w:w="1482" w:type="dxa"/>
          </w:tcPr>
          <w:p>
            <w:pPr>
              <w:pStyle w:val="TableParagraph"/>
              <w:ind w:right="41"/>
              <w:rPr>
                <w:sz w:val="20"/>
              </w:rPr>
            </w:pPr>
            <w:r>
              <w:rPr>
                <w:color w:val="000009"/>
                <w:sz w:val="20"/>
              </w:rPr>
              <w:t>14.74%</w:t>
            </w:r>
          </w:p>
        </w:tc>
      </w:tr>
      <w:tr>
        <w:trPr>
          <w:trHeight w:val="340" w:hRule="atLeast"/>
        </w:trPr>
        <w:tc>
          <w:tcPr>
            <w:tcW w:w="914" w:type="dxa"/>
          </w:tcPr>
          <w:p>
            <w:pPr>
              <w:pStyle w:val="TableParagraph"/>
              <w:ind w:left="57" w:right="0"/>
              <w:jc w:val="left"/>
              <w:rPr>
                <w:sz w:val="20"/>
              </w:rPr>
            </w:pPr>
            <w:r>
              <w:rPr>
                <w:color w:val="000009"/>
                <w:sz w:val="20"/>
              </w:rPr>
              <w:t>XLY</w:t>
            </w:r>
          </w:p>
        </w:tc>
        <w:tc>
          <w:tcPr>
            <w:tcW w:w="1242" w:type="dxa"/>
          </w:tcPr>
          <w:p>
            <w:pPr>
              <w:pStyle w:val="TableParagraph"/>
              <w:rPr>
                <w:sz w:val="20"/>
              </w:rPr>
            </w:pPr>
            <w:r>
              <w:rPr>
                <w:color w:val="000009"/>
                <w:sz w:val="20"/>
              </w:rPr>
              <w:t>-10.56%</w:t>
            </w:r>
          </w:p>
        </w:tc>
        <w:tc>
          <w:tcPr>
            <w:tcW w:w="1258" w:type="dxa"/>
          </w:tcPr>
          <w:p>
            <w:pPr>
              <w:pStyle w:val="TableParagraph"/>
              <w:rPr>
                <w:sz w:val="20"/>
              </w:rPr>
            </w:pPr>
            <w:r>
              <w:rPr>
                <w:color w:val="000009"/>
                <w:sz w:val="20"/>
              </w:rPr>
              <w:t>-20.52%</w:t>
            </w:r>
          </w:p>
        </w:tc>
        <w:tc>
          <w:tcPr>
            <w:tcW w:w="1536" w:type="dxa"/>
          </w:tcPr>
          <w:p>
            <w:pPr>
              <w:pStyle w:val="TableParagraph"/>
              <w:rPr>
                <w:sz w:val="20"/>
              </w:rPr>
            </w:pPr>
            <w:r>
              <w:rPr>
                <w:color w:val="000009"/>
                <w:sz w:val="20"/>
              </w:rPr>
              <w:t>-15.44%</w:t>
            </w:r>
          </w:p>
        </w:tc>
        <w:tc>
          <w:tcPr>
            <w:tcW w:w="1800" w:type="dxa"/>
          </w:tcPr>
          <w:p>
            <w:pPr>
              <w:pStyle w:val="TableParagraph"/>
              <w:rPr>
                <w:sz w:val="20"/>
              </w:rPr>
            </w:pPr>
            <w:r>
              <w:rPr>
                <w:color w:val="000009"/>
                <w:sz w:val="20"/>
              </w:rPr>
              <w:t>-8.18%</w:t>
            </w:r>
          </w:p>
        </w:tc>
        <w:tc>
          <w:tcPr>
            <w:tcW w:w="1482" w:type="dxa"/>
          </w:tcPr>
          <w:p>
            <w:pPr>
              <w:pStyle w:val="TableParagraph"/>
              <w:rPr>
                <w:sz w:val="20"/>
              </w:rPr>
            </w:pPr>
            <w:r>
              <w:rPr>
                <w:color w:val="000009"/>
                <w:sz w:val="20"/>
              </w:rPr>
              <w:t>-5.31%</w:t>
            </w:r>
          </w:p>
        </w:tc>
      </w:tr>
      <w:tr>
        <w:trPr>
          <w:trHeight w:val="341" w:hRule="atLeast"/>
        </w:trPr>
        <w:tc>
          <w:tcPr>
            <w:tcW w:w="914" w:type="dxa"/>
          </w:tcPr>
          <w:p>
            <w:pPr>
              <w:pStyle w:val="TableParagraph"/>
              <w:ind w:left="57" w:right="0"/>
              <w:jc w:val="left"/>
              <w:rPr>
                <w:sz w:val="20"/>
              </w:rPr>
            </w:pPr>
            <w:r>
              <w:rPr>
                <w:color w:val="000009"/>
                <w:sz w:val="20"/>
              </w:rPr>
              <w:t>XLE</w:t>
            </w:r>
          </w:p>
        </w:tc>
        <w:tc>
          <w:tcPr>
            <w:tcW w:w="1242" w:type="dxa"/>
          </w:tcPr>
          <w:p>
            <w:pPr>
              <w:pStyle w:val="TableParagraph"/>
              <w:rPr>
                <w:sz w:val="20"/>
              </w:rPr>
            </w:pPr>
            <w:r>
              <w:rPr>
                <w:color w:val="000009"/>
                <w:sz w:val="20"/>
              </w:rPr>
              <w:t>23.43%</w:t>
            </w:r>
          </w:p>
        </w:tc>
        <w:tc>
          <w:tcPr>
            <w:tcW w:w="1258" w:type="dxa"/>
          </w:tcPr>
          <w:p>
            <w:pPr>
              <w:pStyle w:val="TableParagraph"/>
              <w:ind w:right="41"/>
              <w:rPr>
                <w:sz w:val="20"/>
              </w:rPr>
            </w:pPr>
            <w:r>
              <w:rPr>
                <w:color w:val="000009"/>
                <w:sz w:val="20"/>
              </w:rPr>
              <w:t>8.66%</w:t>
            </w:r>
          </w:p>
        </w:tc>
        <w:tc>
          <w:tcPr>
            <w:tcW w:w="1536" w:type="dxa"/>
          </w:tcPr>
          <w:p>
            <w:pPr>
              <w:pStyle w:val="TableParagraph"/>
              <w:rPr>
                <w:sz w:val="20"/>
              </w:rPr>
            </w:pPr>
            <w:r>
              <w:rPr>
                <w:color w:val="000009"/>
                <w:sz w:val="20"/>
              </w:rPr>
              <w:t>3.12%</w:t>
            </w:r>
          </w:p>
        </w:tc>
        <w:tc>
          <w:tcPr>
            <w:tcW w:w="1800" w:type="dxa"/>
          </w:tcPr>
          <w:p>
            <w:pPr>
              <w:pStyle w:val="TableParagraph"/>
              <w:rPr>
                <w:sz w:val="20"/>
              </w:rPr>
            </w:pPr>
            <w:r>
              <w:rPr>
                <w:color w:val="000009"/>
                <w:sz w:val="20"/>
              </w:rPr>
              <w:t>9.91%</w:t>
            </w:r>
          </w:p>
        </w:tc>
        <w:tc>
          <w:tcPr>
            <w:tcW w:w="1482" w:type="dxa"/>
          </w:tcPr>
          <w:p>
            <w:pPr>
              <w:pStyle w:val="TableParagraph"/>
              <w:ind w:right="41"/>
              <w:rPr>
                <w:sz w:val="20"/>
              </w:rPr>
            </w:pPr>
            <w:r>
              <w:rPr>
                <w:color w:val="000009"/>
                <w:sz w:val="20"/>
              </w:rPr>
              <w:t>9.98%</w:t>
            </w:r>
          </w:p>
        </w:tc>
      </w:tr>
      <w:tr>
        <w:trPr>
          <w:trHeight w:val="340" w:hRule="atLeast"/>
        </w:trPr>
        <w:tc>
          <w:tcPr>
            <w:tcW w:w="914" w:type="dxa"/>
          </w:tcPr>
          <w:p>
            <w:pPr>
              <w:pStyle w:val="TableParagraph"/>
              <w:ind w:left="57" w:right="0"/>
              <w:jc w:val="left"/>
              <w:rPr>
                <w:b/>
                <w:sz w:val="20"/>
              </w:rPr>
            </w:pPr>
            <w:r>
              <w:rPr>
                <w:b/>
                <w:color w:val="000009"/>
                <w:sz w:val="20"/>
              </w:rPr>
              <w:t>Ort.</w:t>
            </w:r>
          </w:p>
        </w:tc>
        <w:tc>
          <w:tcPr>
            <w:tcW w:w="1242" w:type="dxa"/>
          </w:tcPr>
          <w:p>
            <w:pPr>
              <w:pStyle w:val="TableParagraph"/>
              <w:ind w:right="41"/>
              <w:rPr>
                <w:b/>
                <w:sz w:val="20"/>
              </w:rPr>
            </w:pPr>
            <w:r>
              <w:rPr>
                <w:b/>
                <w:color w:val="000009"/>
                <w:sz w:val="20"/>
              </w:rPr>
              <w:t>10.60%</w:t>
            </w:r>
          </w:p>
        </w:tc>
        <w:tc>
          <w:tcPr>
            <w:tcW w:w="1258" w:type="dxa"/>
          </w:tcPr>
          <w:p>
            <w:pPr>
              <w:pStyle w:val="TableParagraph"/>
              <w:ind w:right="41"/>
              <w:rPr>
                <w:sz w:val="20"/>
              </w:rPr>
            </w:pPr>
            <w:r>
              <w:rPr>
                <w:color w:val="000009"/>
                <w:sz w:val="20"/>
              </w:rPr>
              <w:t>8.04%</w:t>
            </w:r>
          </w:p>
        </w:tc>
        <w:tc>
          <w:tcPr>
            <w:tcW w:w="1536" w:type="dxa"/>
          </w:tcPr>
          <w:p>
            <w:pPr>
              <w:pStyle w:val="TableParagraph"/>
              <w:rPr>
                <w:sz w:val="20"/>
              </w:rPr>
            </w:pPr>
            <w:r>
              <w:rPr>
                <w:color w:val="000009"/>
                <w:sz w:val="20"/>
              </w:rPr>
              <w:t>9.33%</w:t>
            </w:r>
          </w:p>
        </w:tc>
        <w:tc>
          <w:tcPr>
            <w:tcW w:w="1800" w:type="dxa"/>
          </w:tcPr>
          <w:p>
            <w:pPr>
              <w:pStyle w:val="TableParagraph"/>
              <w:rPr>
                <w:sz w:val="20"/>
              </w:rPr>
            </w:pPr>
            <w:r>
              <w:rPr>
                <w:color w:val="000009"/>
                <w:sz w:val="20"/>
              </w:rPr>
              <w:t>7.85%</w:t>
            </w:r>
          </w:p>
        </w:tc>
        <w:tc>
          <w:tcPr>
            <w:tcW w:w="1482" w:type="dxa"/>
          </w:tcPr>
          <w:p>
            <w:pPr>
              <w:pStyle w:val="TableParagraph"/>
              <w:ind w:right="41"/>
              <w:rPr>
                <w:sz w:val="20"/>
              </w:rPr>
            </w:pPr>
            <w:r>
              <w:rPr>
                <w:color w:val="000009"/>
                <w:sz w:val="20"/>
              </w:rPr>
              <w:t>6.34%</w:t>
            </w:r>
          </w:p>
        </w:tc>
      </w:tr>
    </w:tbl>
    <w:p>
      <w:pPr>
        <w:spacing w:before="120"/>
        <w:ind w:left="590" w:right="1482" w:firstLine="0"/>
        <w:jc w:val="left"/>
        <w:rPr>
          <w:i/>
          <w:sz w:val="24"/>
        </w:rPr>
      </w:pPr>
      <w:r>
        <w:rPr>
          <w:i/>
          <w:color w:val="000009"/>
          <w:sz w:val="24"/>
        </w:rPr>
        <w:t>Tablo 6: CNN-FA Yöntemine Opsiyon Satma Stratejisi Eklendiğinde ETF'lerin Yıllık </w:t>
      </w:r>
      <w:r>
        <w:rPr>
          <w:i/>
          <w:color w:val="000009"/>
          <w:sz w:val="24"/>
        </w:rPr>
        <w:t>Ortalama Kârları</w:t>
      </w:r>
    </w:p>
    <w:p>
      <w:pPr>
        <w:spacing w:after="0"/>
        <w:jc w:val="left"/>
        <w:rPr>
          <w:sz w:val="24"/>
        </w:rPr>
        <w:sectPr>
          <w:pgSz w:w="11910" w:h="16840"/>
          <w:pgMar w:header="0" w:footer="1050" w:top="1580" w:bottom="1240" w:left="1680" w:right="0"/>
        </w:sectPr>
      </w:pPr>
    </w:p>
    <w:tbl>
      <w:tblPr>
        <w:tblW w:w="0" w:type="auto"/>
        <w:jc w:val="left"/>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242"/>
        <w:gridCol w:w="1538"/>
        <w:gridCol w:w="1520"/>
        <w:gridCol w:w="1630"/>
        <w:gridCol w:w="1388"/>
      </w:tblGrid>
      <w:tr>
        <w:trPr>
          <w:trHeight w:val="342" w:hRule="atLeast"/>
        </w:trPr>
        <w:tc>
          <w:tcPr>
            <w:tcW w:w="914" w:type="dxa"/>
            <w:vMerge w:val="restart"/>
          </w:tcPr>
          <w:p>
            <w:pPr>
              <w:pStyle w:val="TableParagraph"/>
              <w:spacing w:before="11"/>
              <w:ind w:right="0"/>
              <w:jc w:val="left"/>
              <w:rPr>
                <w:i/>
                <w:sz w:val="24"/>
              </w:rPr>
            </w:pPr>
          </w:p>
          <w:p>
            <w:pPr>
              <w:pStyle w:val="TableParagraph"/>
              <w:spacing w:before="0"/>
              <w:ind w:left="231" w:right="0"/>
              <w:jc w:val="left"/>
              <w:rPr>
                <w:b/>
                <w:sz w:val="20"/>
              </w:rPr>
            </w:pPr>
            <w:r>
              <w:rPr>
                <w:b/>
                <w:color w:val="000009"/>
                <w:sz w:val="20"/>
              </w:rPr>
              <w:t>Hisse</w:t>
            </w:r>
          </w:p>
        </w:tc>
        <w:tc>
          <w:tcPr>
            <w:tcW w:w="1242" w:type="dxa"/>
            <w:vMerge w:val="restart"/>
          </w:tcPr>
          <w:p>
            <w:pPr>
              <w:pStyle w:val="TableParagraph"/>
              <w:spacing w:line="242" w:lineRule="auto"/>
              <w:ind w:left="283" w:right="69" w:hanging="180"/>
              <w:jc w:val="left"/>
              <w:rPr>
                <w:b/>
                <w:sz w:val="20"/>
              </w:rPr>
            </w:pPr>
            <w:r>
              <w:rPr>
                <w:b/>
                <w:color w:val="000009"/>
                <w:sz w:val="20"/>
              </w:rPr>
              <w:t>Opsiyonsuz, KD, ZD</w:t>
            </w:r>
          </w:p>
        </w:tc>
        <w:tc>
          <w:tcPr>
            <w:tcW w:w="6076" w:type="dxa"/>
            <w:gridSpan w:val="4"/>
          </w:tcPr>
          <w:p>
            <w:pPr>
              <w:pStyle w:val="TableParagraph"/>
              <w:ind w:left="1912" w:right="0"/>
              <w:jc w:val="left"/>
              <w:rPr>
                <w:b/>
                <w:sz w:val="20"/>
              </w:rPr>
            </w:pPr>
            <w:r>
              <w:rPr>
                <w:b/>
                <w:color w:val="000009"/>
                <w:sz w:val="20"/>
              </w:rPr>
              <w:t>Opsiyon Satın Alındığında</w:t>
            </w:r>
          </w:p>
        </w:tc>
      </w:tr>
      <w:tr>
        <w:trPr>
          <w:trHeight w:val="340" w:hRule="atLeast"/>
        </w:trPr>
        <w:tc>
          <w:tcPr>
            <w:tcW w:w="914" w:type="dxa"/>
            <w:vMerge/>
            <w:tcBorders>
              <w:top w:val="nil"/>
            </w:tcBorders>
          </w:tcPr>
          <w:p>
            <w:pPr>
              <w:rPr>
                <w:sz w:val="2"/>
                <w:szCs w:val="2"/>
              </w:rPr>
            </w:pPr>
          </w:p>
        </w:tc>
        <w:tc>
          <w:tcPr>
            <w:tcW w:w="1242" w:type="dxa"/>
            <w:vMerge/>
            <w:tcBorders>
              <w:top w:val="nil"/>
            </w:tcBorders>
          </w:tcPr>
          <w:p>
            <w:pPr>
              <w:rPr>
                <w:sz w:val="2"/>
                <w:szCs w:val="2"/>
              </w:rPr>
            </w:pPr>
          </w:p>
        </w:tc>
        <w:tc>
          <w:tcPr>
            <w:tcW w:w="1538" w:type="dxa"/>
          </w:tcPr>
          <w:p>
            <w:pPr>
              <w:pStyle w:val="TableParagraph"/>
              <w:spacing w:before="0"/>
              <w:ind w:right="0"/>
              <w:jc w:val="left"/>
              <w:rPr>
                <w:rFonts w:ascii="Times New Roman"/>
                <w:sz w:val="20"/>
              </w:rPr>
            </w:pPr>
          </w:p>
        </w:tc>
        <w:tc>
          <w:tcPr>
            <w:tcW w:w="1520" w:type="dxa"/>
          </w:tcPr>
          <w:p>
            <w:pPr>
              <w:pStyle w:val="TableParagraph"/>
              <w:ind w:left="604" w:right="588"/>
              <w:jc w:val="center"/>
              <w:rPr>
                <w:b/>
                <w:sz w:val="20"/>
              </w:rPr>
            </w:pPr>
            <w:r>
              <w:rPr>
                <w:b/>
                <w:color w:val="000009"/>
                <w:sz w:val="20"/>
              </w:rPr>
              <w:t>ZD</w:t>
            </w:r>
          </w:p>
        </w:tc>
        <w:tc>
          <w:tcPr>
            <w:tcW w:w="1630" w:type="dxa"/>
          </w:tcPr>
          <w:p>
            <w:pPr>
              <w:pStyle w:val="TableParagraph"/>
              <w:ind w:left="648" w:right="632"/>
              <w:jc w:val="center"/>
              <w:rPr>
                <w:b/>
                <w:sz w:val="20"/>
              </w:rPr>
            </w:pPr>
            <w:r>
              <w:rPr>
                <w:b/>
                <w:color w:val="000009"/>
                <w:sz w:val="20"/>
              </w:rPr>
              <w:t>KD</w:t>
            </w:r>
          </w:p>
        </w:tc>
        <w:tc>
          <w:tcPr>
            <w:tcW w:w="1388" w:type="dxa"/>
          </w:tcPr>
          <w:p>
            <w:pPr>
              <w:pStyle w:val="TableParagraph"/>
              <w:ind w:left="357" w:right="0"/>
              <w:jc w:val="left"/>
              <w:rPr>
                <w:b/>
                <w:sz w:val="20"/>
              </w:rPr>
            </w:pPr>
            <w:r>
              <w:rPr>
                <w:b/>
                <w:color w:val="000009"/>
                <w:sz w:val="20"/>
              </w:rPr>
              <w:t>ZD, KD</w:t>
            </w:r>
          </w:p>
        </w:tc>
      </w:tr>
      <w:tr>
        <w:trPr>
          <w:trHeight w:val="342" w:hRule="atLeast"/>
        </w:trPr>
        <w:tc>
          <w:tcPr>
            <w:tcW w:w="914" w:type="dxa"/>
          </w:tcPr>
          <w:p>
            <w:pPr>
              <w:pStyle w:val="TableParagraph"/>
              <w:ind w:left="57" w:right="0"/>
              <w:jc w:val="left"/>
              <w:rPr>
                <w:sz w:val="20"/>
              </w:rPr>
            </w:pPr>
            <w:r>
              <w:rPr>
                <w:color w:val="000009"/>
                <w:sz w:val="20"/>
              </w:rPr>
              <w:t>AXP</w:t>
            </w:r>
          </w:p>
        </w:tc>
        <w:tc>
          <w:tcPr>
            <w:tcW w:w="1242" w:type="dxa"/>
          </w:tcPr>
          <w:p>
            <w:pPr>
              <w:pStyle w:val="TableParagraph"/>
              <w:rPr>
                <w:sz w:val="20"/>
              </w:rPr>
            </w:pPr>
            <w:r>
              <w:rPr>
                <w:color w:val="000009"/>
                <w:sz w:val="20"/>
              </w:rPr>
              <w:t>39.55%</w:t>
            </w:r>
          </w:p>
        </w:tc>
        <w:tc>
          <w:tcPr>
            <w:tcW w:w="1538" w:type="dxa"/>
          </w:tcPr>
          <w:p>
            <w:pPr>
              <w:pStyle w:val="TableParagraph"/>
              <w:rPr>
                <w:sz w:val="20"/>
              </w:rPr>
            </w:pPr>
            <w:r>
              <w:rPr>
                <w:color w:val="000009"/>
                <w:sz w:val="20"/>
              </w:rPr>
              <w:t>16.27%</w:t>
            </w:r>
          </w:p>
        </w:tc>
        <w:tc>
          <w:tcPr>
            <w:tcW w:w="1520" w:type="dxa"/>
          </w:tcPr>
          <w:p>
            <w:pPr>
              <w:pStyle w:val="TableParagraph"/>
              <w:ind w:right="41"/>
              <w:rPr>
                <w:sz w:val="20"/>
              </w:rPr>
            </w:pPr>
            <w:r>
              <w:rPr>
                <w:color w:val="000009"/>
                <w:sz w:val="20"/>
              </w:rPr>
              <w:t>17.34%</w:t>
            </w:r>
          </w:p>
        </w:tc>
        <w:tc>
          <w:tcPr>
            <w:tcW w:w="1630" w:type="dxa"/>
          </w:tcPr>
          <w:p>
            <w:pPr>
              <w:pStyle w:val="TableParagraph"/>
              <w:rPr>
                <w:sz w:val="20"/>
              </w:rPr>
            </w:pPr>
            <w:r>
              <w:rPr>
                <w:color w:val="000009"/>
                <w:sz w:val="20"/>
              </w:rPr>
              <w:t>-1.10%</w:t>
            </w:r>
          </w:p>
        </w:tc>
        <w:tc>
          <w:tcPr>
            <w:tcW w:w="1388" w:type="dxa"/>
          </w:tcPr>
          <w:p>
            <w:pPr>
              <w:pStyle w:val="TableParagraph"/>
              <w:ind w:right="41"/>
              <w:rPr>
                <w:sz w:val="20"/>
              </w:rPr>
            </w:pPr>
            <w:r>
              <w:rPr>
                <w:color w:val="000009"/>
                <w:sz w:val="20"/>
              </w:rPr>
              <w:t>8.70%</w:t>
            </w:r>
          </w:p>
        </w:tc>
      </w:tr>
      <w:tr>
        <w:trPr>
          <w:trHeight w:val="340" w:hRule="atLeast"/>
        </w:trPr>
        <w:tc>
          <w:tcPr>
            <w:tcW w:w="914" w:type="dxa"/>
          </w:tcPr>
          <w:p>
            <w:pPr>
              <w:pStyle w:val="TableParagraph"/>
              <w:ind w:left="57" w:right="0"/>
              <w:jc w:val="left"/>
              <w:rPr>
                <w:sz w:val="20"/>
              </w:rPr>
            </w:pPr>
            <w:r>
              <w:rPr>
                <w:color w:val="000009"/>
                <w:sz w:val="20"/>
              </w:rPr>
              <w:t>BA</w:t>
            </w:r>
          </w:p>
        </w:tc>
        <w:tc>
          <w:tcPr>
            <w:tcW w:w="1242" w:type="dxa"/>
          </w:tcPr>
          <w:p>
            <w:pPr>
              <w:pStyle w:val="TableParagraph"/>
              <w:rPr>
                <w:sz w:val="20"/>
              </w:rPr>
            </w:pPr>
            <w:r>
              <w:rPr>
                <w:color w:val="000009"/>
                <w:sz w:val="20"/>
              </w:rPr>
              <w:t>1.76%</w:t>
            </w:r>
          </w:p>
        </w:tc>
        <w:tc>
          <w:tcPr>
            <w:tcW w:w="1538" w:type="dxa"/>
          </w:tcPr>
          <w:p>
            <w:pPr>
              <w:pStyle w:val="TableParagraph"/>
              <w:rPr>
                <w:sz w:val="20"/>
              </w:rPr>
            </w:pPr>
            <w:r>
              <w:rPr>
                <w:color w:val="000009"/>
                <w:sz w:val="20"/>
              </w:rPr>
              <w:t>-8.09%</w:t>
            </w:r>
          </w:p>
        </w:tc>
        <w:tc>
          <w:tcPr>
            <w:tcW w:w="1520" w:type="dxa"/>
          </w:tcPr>
          <w:p>
            <w:pPr>
              <w:pStyle w:val="TableParagraph"/>
              <w:ind w:right="41"/>
              <w:rPr>
                <w:sz w:val="20"/>
              </w:rPr>
            </w:pPr>
            <w:r>
              <w:rPr>
                <w:color w:val="000009"/>
                <w:sz w:val="20"/>
              </w:rPr>
              <w:t>1.78%</w:t>
            </w:r>
          </w:p>
        </w:tc>
        <w:tc>
          <w:tcPr>
            <w:tcW w:w="1630" w:type="dxa"/>
          </w:tcPr>
          <w:p>
            <w:pPr>
              <w:pStyle w:val="TableParagraph"/>
              <w:rPr>
                <w:sz w:val="20"/>
              </w:rPr>
            </w:pPr>
            <w:r>
              <w:rPr>
                <w:color w:val="000009"/>
                <w:sz w:val="20"/>
              </w:rPr>
              <w:t>14.44%</w:t>
            </w:r>
          </w:p>
        </w:tc>
        <w:tc>
          <w:tcPr>
            <w:tcW w:w="1388" w:type="dxa"/>
          </w:tcPr>
          <w:p>
            <w:pPr>
              <w:pStyle w:val="TableParagraph"/>
              <w:ind w:right="41"/>
              <w:rPr>
                <w:sz w:val="20"/>
              </w:rPr>
            </w:pPr>
            <w:r>
              <w:rPr>
                <w:color w:val="000009"/>
                <w:sz w:val="20"/>
              </w:rPr>
              <w:t>0.73%</w:t>
            </w:r>
          </w:p>
        </w:tc>
      </w:tr>
      <w:tr>
        <w:trPr>
          <w:trHeight w:val="342" w:hRule="atLeast"/>
        </w:trPr>
        <w:tc>
          <w:tcPr>
            <w:tcW w:w="914" w:type="dxa"/>
          </w:tcPr>
          <w:p>
            <w:pPr>
              <w:pStyle w:val="TableParagraph"/>
              <w:ind w:left="57" w:right="0"/>
              <w:jc w:val="left"/>
              <w:rPr>
                <w:sz w:val="20"/>
              </w:rPr>
            </w:pPr>
            <w:r>
              <w:rPr>
                <w:color w:val="000009"/>
                <w:sz w:val="20"/>
              </w:rPr>
              <w:t>CAT</w:t>
            </w:r>
          </w:p>
        </w:tc>
        <w:tc>
          <w:tcPr>
            <w:tcW w:w="1242" w:type="dxa"/>
          </w:tcPr>
          <w:p>
            <w:pPr>
              <w:pStyle w:val="TableParagraph"/>
              <w:rPr>
                <w:sz w:val="20"/>
              </w:rPr>
            </w:pPr>
            <w:r>
              <w:rPr>
                <w:color w:val="000009"/>
                <w:sz w:val="20"/>
              </w:rPr>
              <w:t>-20.66%</w:t>
            </w:r>
          </w:p>
        </w:tc>
        <w:tc>
          <w:tcPr>
            <w:tcW w:w="1538" w:type="dxa"/>
          </w:tcPr>
          <w:p>
            <w:pPr>
              <w:pStyle w:val="TableParagraph"/>
              <w:rPr>
                <w:sz w:val="20"/>
              </w:rPr>
            </w:pPr>
            <w:r>
              <w:rPr>
                <w:color w:val="000009"/>
                <w:sz w:val="20"/>
              </w:rPr>
              <w:t>-32.04%</w:t>
            </w:r>
          </w:p>
        </w:tc>
        <w:tc>
          <w:tcPr>
            <w:tcW w:w="1520" w:type="dxa"/>
          </w:tcPr>
          <w:p>
            <w:pPr>
              <w:pStyle w:val="TableParagraph"/>
              <w:rPr>
                <w:sz w:val="20"/>
              </w:rPr>
            </w:pPr>
            <w:r>
              <w:rPr>
                <w:color w:val="000009"/>
                <w:sz w:val="20"/>
              </w:rPr>
              <w:t>-25.25%</w:t>
            </w:r>
          </w:p>
        </w:tc>
        <w:tc>
          <w:tcPr>
            <w:tcW w:w="1630" w:type="dxa"/>
          </w:tcPr>
          <w:p>
            <w:pPr>
              <w:pStyle w:val="TableParagraph"/>
              <w:rPr>
                <w:sz w:val="20"/>
              </w:rPr>
            </w:pPr>
            <w:r>
              <w:rPr>
                <w:color w:val="000009"/>
                <w:sz w:val="20"/>
              </w:rPr>
              <w:t>-9.90%</w:t>
            </w:r>
          </w:p>
        </w:tc>
        <w:tc>
          <w:tcPr>
            <w:tcW w:w="1388" w:type="dxa"/>
          </w:tcPr>
          <w:p>
            <w:pPr>
              <w:pStyle w:val="TableParagraph"/>
              <w:ind w:right="41"/>
              <w:rPr>
                <w:sz w:val="20"/>
              </w:rPr>
            </w:pPr>
            <w:r>
              <w:rPr>
                <w:color w:val="000009"/>
                <w:sz w:val="20"/>
              </w:rPr>
              <w:t>-11.65%</w:t>
            </w:r>
          </w:p>
        </w:tc>
      </w:tr>
      <w:tr>
        <w:trPr>
          <w:trHeight w:val="340" w:hRule="atLeast"/>
        </w:trPr>
        <w:tc>
          <w:tcPr>
            <w:tcW w:w="914" w:type="dxa"/>
          </w:tcPr>
          <w:p>
            <w:pPr>
              <w:pStyle w:val="TableParagraph"/>
              <w:ind w:left="57" w:right="0"/>
              <w:jc w:val="left"/>
              <w:rPr>
                <w:sz w:val="20"/>
              </w:rPr>
            </w:pPr>
            <w:r>
              <w:rPr>
                <w:color w:val="000009"/>
                <w:sz w:val="20"/>
              </w:rPr>
              <w:t>CSCO</w:t>
            </w:r>
          </w:p>
        </w:tc>
        <w:tc>
          <w:tcPr>
            <w:tcW w:w="1242" w:type="dxa"/>
          </w:tcPr>
          <w:p>
            <w:pPr>
              <w:pStyle w:val="TableParagraph"/>
              <w:rPr>
                <w:sz w:val="20"/>
              </w:rPr>
            </w:pPr>
            <w:r>
              <w:rPr>
                <w:color w:val="000009"/>
                <w:sz w:val="20"/>
              </w:rPr>
              <w:t>42.27%</w:t>
            </w:r>
          </w:p>
        </w:tc>
        <w:tc>
          <w:tcPr>
            <w:tcW w:w="1538" w:type="dxa"/>
          </w:tcPr>
          <w:p>
            <w:pPr>
              <w:pStyle w:val="TableParagraph"/>
              <w:rPr>
                <w:sz w:val="20"/>
              </w:rPr>
            </w:pPr>
            <w:r>
              <w:rPr>
                <w:color w:val="000009"/>
                <w:sz w:val="20"/>
              </w:rPr>
              <w:t>33.89%</w:t>
            </w:r>
          </w:p>
        </w:tc>
        <w:tc>
          <w:tcPr>
            <w:tcW w:w="1520" w:type="dxa"/>
          </w:tcPr>
          <w:p>
            <w:pPr>
              <w:pStyle w:val="TableParagraph"/>
              <w:ind w:right="41"/>
              <w:rPr>
                <w:sz w:val="20"/>
              </w:rPr>
            </w:pPr>
            <w:r>
              <w:rPr>
                <w:color w:val="000009"/>
                <w:sz w:val="20"/>
              </w:rPr>
              <w:t>25.49%</w:t>
            </w:r>
          </w:p>
        </w:tc>
        <w:tc>
          <w:tcPr>
            <w:tcW w:w="1630" w:type="dxa"/>
          </w:tcPr>
          <w:p>
            <w:pPr>
              <w:pStyle w:val="TableParagraph"/>
              <w:rPr>
                <w:sz w:val="20"/>
              </w:rPr>
            </w:pPr>
            <w:r>
              <w:rPr>
                <w:color w:val="000009"/>
                <w:sz w:val="20"/>
              </w:rPr>
              <w:t>-5.78%</w:t>
            </w:r>
          </w:p>
        </w:tc>
        <w:tc>
          <w:tcPr>
            <w:tcW w:w="1388" w:type="dxa"/>
          </w:tcPr>
          <w:p>
            <w:pPr>
              <w:pStyle w:val="TableParagraph"/>
              <w:ind w:right="41"/>
              <w:rPr>
                <w:sz w:val="20"/>
              </w:rPr>
            </w:pPr>
            <w:r>
              <w:rPr>
                <w:color w:val="000009"/>
                <w:sz w:val="20"/>
              </w:rPr>
              <w:t>-1.11%</w:t>
            </w:r>
          </w:p>
        </w:tc>
      </w:tr>
      <w:tr>
        <w:trPr>
          <w:trHeight w:val="342" w:hRule="atLeast"/>
        </w:trPr>
        <w:tc>
          <w:tcPr>
            <w:tcW w:w="914" w:type="dxa"/>
          </w:tcPr>
          <w:p>
            <w:pPr>
              <w:pStyle w:val="TableParagraph"/>
              <w:ind w:left="57" w:right="0"/>
              <w:jc w:val="left"/>
              <w:rPr>
                <w:sz w:val="20"/>
              </w:rPr>
            </w:pPr>
            <w:r>
              <w:rPr>
                <w:color w:val="000009"/>
                <w:sz w:val="20"/>
              </w:rPr>
              <w:t>DIS</w:t>
            </w:r>
          </w:p>
        </w:tc>
        <w:tc>
          <w:tcPr>
            <w:tcW w:w="1242" w:type="dxa"/>
          </w:tcPr>
          <w:p>
            <w:pPr>
              <w:pStyle w:val="TableParagraph"/>
              <w:rPr>
                <w:sz w:val="20"/>
              </w:rPr>
            </w:pPr>
            <w:r>
              <w:rPr>
                <w:color w:val="000009"/>
                <w:sz w:val="20"/>
              </w:rPr>
              <w:t>7.38%</w:t>
            </w:r>
          </w:p>
        </w:tc>
        <w:tc>
          <w:tcPr>
            <w:tcW w:w="1538" w:type="dxa"/>
          </w:tcPr>
          <w:p>
            <w:pPr>
              <w:pStyle w:val="TableParagraph"/>
              <w:rPr>
                <w:sz w:val="20"/>
              </w:rPr>
            </w:pPr>
            <w:r>
              <w:rPr>
                <w:color w:val="000009"/>
                <w:sz w:val="20"/>
              </w:rPr>
              <w:t>6.18%</w:t>
            </w:r>
          </w:p>
        </w:tc>
        <w:tc>
          <w:tcPr>
            <w:tcW w:w="1520" w:type="dxa"/>
          </w:tcPr>
          <w:p>
            <w:pPr>
              <w:pStyle w:val="TableParagraph"/>
              <w:ind w:right="41"/>
              <w:rPr>
                <w:sz w:val="20"/>
              </w:rPr>
            </w:pPr>
            <w:r>
              <w:rPr>
                <w:color w:val="000009"/>
                <w:sz w:val="20"/>
              </w:rPr>
              <w:t>24.24%</w:t>
            </w:r>
          </w:p>
        </w:tc>
        <w:tc>
          <w:tcPr>
            <w:tcW w:w="1630" w:type="dxa"/>
          </w:tcPr>
          <w:p>
            <w:pPr>
              <w:pStyle w:val="TableParagraph"/>
              <w:rPr>
                <w:sz w:val="20"/>
              </w:rPr>
            </w:pPr>
            <w:r>
              <w:rPr>
                <w:color w:val="000009"/>
                <w:sz w:val="20"/>
              </w:rPr>
              <w:t>4.18%</w:t>
            </w:r>
          </w:p>
        </w:tc>
        <w:tc>
          <w:tcPr>
            <w:tcW w:w="1388" w:type="dxa"/>
          </w:tcPr>
          <w:p>
            <w:pPr>
              <w:pStyle w:val="TableParagraph"/>
              <w:ind w:right="41"/>
              <w:rPr>
                <w:sz w:val="20"/>
              </w:rPr>
            </w:pPr>
            <w:r>
              <w:rPr>
                <w:color w:val="000009"/>
                <w:sz w:val="20"/>
              </w:rPr>
              <w:t>5.84%</w:t>
            </w:r>
          </w:p>
        </w:tc>
      </w:tr>
      <w:tr>
        <w:trPr>
          <w:trHeight w:val="340" w:hRule="atLeast"/>
        </w:trPr>
        <w:tc>
          <w:tcPr>
            <w:tcW w:w="914" w:type="dxa"/>
          </w:tcPr>
          <w:p>
            <w:pPr>
              <w:pStyle w:val="TableParagraph"/>
              <w:ind w:left="57" w:right="0"/>
              <w:jc w:val="left"/>
              <w:rPr>
                <w:sz w:val="20"/>
              </w:rPr>
            </w:pPr>
            <w:r>
              <w:rPr>
                <w:color w:val="000009"/>
                <w:sz w:val="20"/>
              </w:rPr>
              <w:t>GE</w:t>
            </w:r>
          </w:p>
        </w:tc>
        <w:tc>
          <w:tcPr>
            <w:tcW w:w="1242" w:type="dxa"/>
          </w:tcPr>
          <w:p>
            <w:pPr>
              <w:pStyle w:val="TableParagraph"/>
              <w:rPr>
                <w:sz w:val="20"/>
              </w:rPr>
            </w:pPr>
            <w:r>
              <w:rPr>
                <w:color w:val="000009"/>
                <w:sz w:val="20"/>
              </w:rPr>
              <w:t>4.34%</w:t>
            </w:r>
          </w:p>
        </w:tc>
        <w:tc>
          <w:tcPr>
            <w:tcW w:w="1538" w:type="dxa"/>
          </w:tcPr>
          <w:p>
            <w:pPr>
              <w:pStyle w:val="TableParagraph"/>
              <w:rPr>
                <w:sz w:val="20"/>
              </w:rPr>
            </w:pPr>
            <w:r>
              <w:rPr>
                <w:color w:val="000009"/>
                <w:sz w:val="20"/>
              </w:rPr>
              <w:t>1.17%</w:t>
            </w:r>
          </w:p>
        </w:tc>
        <w:tc>
          <w:tcPr>
            <w:tcW w:w="1520" w:type="dxa"/>
          </w:tcPr>
          <w:p>
            <w:pPr>
              <w:pStyle w:val="TableParagraph"/>
              <w:ind w:right="41"/>
              <w:rPr>
                <w:sz w:val="20"/>
              </w:rPr>
            </w:pPr>
            <w:r>
              <w:rPr>
                <w:color w:val="000009"/>
                <w:sz w:val="20"/>
              </w:rPr>
              <w:t>0.41%</w:t>
            </w:r>
          </w:p>
        </w:tc>
        <w:tc>
          <w:tcPr>
            <w:tcW w:w="1630" w:type="dxa"/>
          </w:tcPr>
          <w:p>
            <w:pPr>
              <w:pStyle w:val="TableParagraph"/>
              <w:rPr>
                <w:sz w:val="20"/>
              </w:rPr>
            </w:pPr>
            <w:r>
              <w:rPr>
                <w:color w:val="000009"/>
                <w:sz w:val="20"/>
              </w:rPr>
              <w:t>-3.45%</w:t>
            </w:r>
          </w:p>
        </w:tc>
        <w:tc>
          <w:tcPr>
            <w:tcW w:w="1388" w:type="dxa"/>
          </w:tcPr>
          <w:p>
            <w:pPr>
              <w:pStyle w:val="TableParagraph"/>
              <w:ind w:right="41"/>
              <w:rPr>
                <w:sz w:val="20"/>
              </w:rPr>
            </w:pPr>
            <w:r>
              <w:rPr>
                <w:color w:val="000009"/>
                <w:sz w:val="20"/>
              </w:rPr>
              <w:t>2.75%</w:t>
            </w:r>
          </w:p>
        </w:tc>
      </w:tr>
      <w:tr>
        <w:trPr>
          <w:trHeight w:val="341" w:hRule="atLeast"/>
        </w:trPr>
        <w:tc>
          <w:tcPr>
            <w:tcW w:w="914" w:type="dxa"/>
          </w:tcPr>
          <w:p>
            <w:pPr>
              <w:pStyle w:val="TableParagraph"/>
              <w:ind w:left="57" w:right="0"/>
              <w:jc w:val="left"/>
              <w:rPr>
                <w:sz w:val="20"/>
              </w:rPr>
            </w:pPr>
            <w:r>
              <w:rPr>
                <w:color w:val="000009"/>
                <w:sz w:val="20"/>
              </w:rPr>
              <w:t>GS</w:t>
            </w:r>
          </w:p>
        </w:tc>
        <w:tc>
          <w:tcPr>
            <w:tcW w:w="1242" w:type="dxa"/>
          </w:tcPr>
          <w:p>
            <w:pPr>
              <w:pStyle w:val="TableParagraph"/>
              <w:rPr>
                <w:sz w:val="20"/>
              </w:rPr>
            </w:pPr>
            <w:r>
              <w:rPr>
                <w:color w:val="000009"/>
                <w:sz w:val="20"/>
              </w:rPr>
              <w:t>14.46%</w:t>
            </w:r>
          </w:p>
        </w:tc>
        <w:tc>
          <w:tcPr>
            <w:tcW w:w="1538" w:type="dxa"/>
          </w:tcPr>
          <w:p>
            <w:pPr>
              <w:pStyle w:val="TableParagraph"/>
              <w:rPr>
                <w:sz w:val="20"/>
              </w:rPr>
            </w:pPr>
            <w:r>
              <w:rPr>
                <w:color w:val="000009"/>
                <w:sz w:val="20"/>
              </w:rPr>
              <w:t>29.55%</w:t>
            </w:r>
          </w:p>
        </w:tc>
        <w:tc>
          <w:tcPr>
            <w:tcW w:w="1520" w:type="dxa"/>
          </w:tcPr>
          <w:p>
            <w:pPr>
              <w:pStyle w:val="TableParagraph"/>
              <w:ind w:right="41"/>
              <w:rPr>
                <w:sz w:val="20"/>
              </w:rPr>
            </w:pPr>
            <w:r>
              <w:rPr>
                <w:color w:val="000009"/>
                <w:sz w:val="20"/>
              </w:rPr>
              <w:t>47.08%</w:t>
            </w:r>
          </w:p>
        </w:tc>
        <w:tc>
          <w:tcPr>
            <w:tcW w:w="1630" w:type="dxa"/>
          </w:tcPr>
          <w:p>
            <w:pPr>
              <w:pStyle w:val="TableParagraph"/>
              <w:rPr>
                <w:sz w:val="20"/>
              </w:rPr>
            </w:pPr>
            <w:r>
              <w:rPr>
                <w:color w:val="000009"/>
                <w:sz w:val="20"/>
              </w:rPr>
              <w:t>-100.00%</w:t>
            </w:r>
          </w:p>
        </w:tc>
        <w:tc>
          <w:tcPr>
            <w:tcW w:w="1388" w:type="dxa"/>
          </w:tcPr>
          <w:p>
            <w:pPr>
              <w:pStyle w:val="TableParagraph"/>
              <w:rPr>
                <w:sz w:val="20"/>
              </w:rPr>
            </w:pPr>
            <w:r>
              <w:rPr>
                <w:color w:val="000009"/>
                <w:sz w:val="20"/>
              </w:rPr>
              <w:t>-100.00%</w:t>
            </w:r>
          </w:p>
        </w:tc>
      </w:tr>
      <w:tr>
        <w:trPr>
          <w:trHeight w:val="340" w:hRule="atLeast"/>
        </w:trPr>
        <w:tc>
          <w:tcPr>
            <w:tcW w:w="914" w:type="dxa"/>
          </w:tcPr>
          <w:p>
            <w:pPr>
              <w:pStyle w:val="TableParagraph"/>
              <w:ind w:left="57" w:right="0"/>
              <w:jc w:val="left"/>
              <w:rPr>
                <w:sz w:val="20"/>
              </w:rPr>
            </w:pPr>
            <w:r>
              <w:rPr>
                <w:color w:val="000009"/>
                <w:sz w:val="20"/>
              </w:rPr>
              <w:t>HD</w:t>
            </w:r>
          </w:p>
        </w:tc>
        <w:tc>
          <w:tcPr>
            <w:tcW w:w="1242" w:type="dxa"/>
          </w:tcPr>
          <w:p>
            <w:pPr>
              <w:pStyle w:val="TableParagraph"/>
              <w:rPr>
                <w:sz w:val="20"/>
              </w:rPr>
            </w:pPr>
            <w:r>
              <w:rPr>
                <w:color w:val="000009"/>
                <w:sz w:val="20"/>
              </w:rPr>
              <w:t>0.64%</w:t>
            </w:r>
          </w:p>
        </w:tc>
        <w:tc>
          <w:tcPr>
            <w:tcW w:w="1538" w:type="dxa"/>
          </w:tcPr>
          <w:p>
            <w:pPr>
              <w:pStyle w:val="TableParagraph"/>
              <w:rPr>
                <w:sz w:val="20"/>
              </w:rPr>
            </w:pPr>
            <w:r>
              <w:rPr>
                <w:color w:val="000009"/>
                <w:sz w:val="20"/>
              </w:rPr>
              <w:t>-5.65%</w:t>
            </w:r>
          </w:p>
        </w:tc>
        <w:tc>
          <w:tcPr>
            <w:tcW w:w="1520" w:type="dxa"/>
          </w:tcPr>
          <w:p>
            <w:pPr>
              <w:pStyle w:val="TableParagraph"/>
              <w:rPr>
                <w:sz w:val="20"/>
              </w:rPr>
            </w:pPr>
            <w:r>
              <w:rPr>
                <w:color w:val="000009"/>
                <w:sz w:val="20"/>
              </w:rPr>
              <w:t>-17.59%</w:t>
            </w:r>
          </w:p>
        </w:tc>
        <w:tc>
          <w:tcPr>
            <w:tcW w:w="1630" w:type="dxa"/>
          </w:tcPr>
          <w:p>
            <w:pPr>
              <w:pStyle w:val="TableParagraph"/>
              <w:rPr>
                <w:sz w:val="20"/>
              </w:rPr>
            </w:pPr>
            <w:r>
              <w:rPr>
                <w:color w:val="000009"/>
                <w:sz w:val="20"/>
              </w:rPr>
              <w:t>-17.09%</w:t>
            </w:r>
          </w:p>
        </w:tc>
        <w:tc>
          <w:tcPr>
            <w:tcW w:w="1388" w:type="dxa"/>
          </w:tcPr>
          <w:p>
            <w:pPr>
              <w:pStyle w:val="TableParagraph"/>
              <w:rPr>
                <w:sz w:val="20"/>
              </w:rPr>
            </w:pPr>
            <w:r>
              <w:rPr>
                <w:color w:val="000009"/>
                <w:sz w:val="20"/>
              </w:rPr>
              <w:t>-16.89%</w:t>
            </w:r>
          </w:p>
        </w:tc>
      </w:tr>
      <w:tr>
        <w:trPr>
          <w:trHeight w:val="342" w:hRule="atLeast"/>
        </w:trPr>
        <w:tc>
          <w:tcPr>
            <w:tcW w:w="914" w:type="dxa"/>
          </w:tcPr>
          <w:p>
            <w:pPr>
              <w:pStyle w:val="TableParagraph"/>
              <w:ind w:left="57" w:right="0"/>
              <w:jc w:val="left"/>
              <w:rPr>
                <w:sz w:val="20"/>
              </w:rPr>
            </w:pPr>
            <w:r>
              <w:rPr>
                <w:color w:val="000009"/>
                <w:sz w:val="20"/>
              </w:rPr>
              <w:t>IBM</w:t>
            </w:r>
          </w:p>
        </w:tc>
        <w:tc>
          <w:tcPr>
            <w:tcW w:w="1242" w:type="dxa"/>
          </w:tcPr>
          <w:p>
            <w:pPr>
              <w:pStyle w:val="TableParagraph"/>
              <w:rPr>
                <w:sz w:val="20"/>
              </w:rPr>
            </w:pPr>
            <w:r>
              <w:rPr>
                <w:color w:val="000009"/>
                <w:sz w:val="20"/>
              </w:rPr>
              <w:t>0.21%</w:t>
            </w:r>
          </w:p>
        </w:tc>
        <w:tc>
          <w:tcPr>
            <w:tcW w:w="1538" w:type="dxa"/>
          </w:tcPr>
          <w:p>
            <w:pPr>
              <w:pStyle w:val="TableParagraph"/>
              <w:rPr>
                <w:sz w:val="20"/>
              </w:rPr>
            </w:pPr>
            <w:r>
              <w:rPr>
                <w:color w:val="000009"/>
                <w:sz w:val="20"/>
              </w:rPr>
              <w:t>13.03%</w:t>
            </w:r>
          </w:p>
        </w:tc>
        <w:tc>
          <w:tcPr>
            <w:tcW w:w="1520" w:type="dxa"/>
          </w:tcPr>
          <w:p>
            <w:pPr>
              <w:pStyle w:val="TableParagraph"/>
              <w:ind w:right="41"/>
              <w:rPr>
                <w:sz w:val="20"/>
              </w:rPr>
            </w:pPr>
            <w:r>
              <w:rPr>
                <w:color w:val="000009"/>
                <w:sz w:val="20"/>
              </w:rPr>
              <w:t>4.64%</w:t>
            </w:r>
          </w:p>
        </w:tc>
        <w:tc>
          <w:tcPr>
            <w:tcW w:w="1630" w:type="dxa"/>
          </w:tcPr>
          <w:p>
            <w:pPr>
              <w:pStyle w:val="TableParagraph"/>
              <w:rPr>
                <w:sz w:val="20"/>
              </w:rPr>
            </w:pPr>
            <w:r>
              <w:rPr>
                <w:color w:val="000009"/>
                <w:sz w:val="20"/>
              </w:rPr>
              <w:t>-3.52%</w:t>
            </w:r>
          </w:p>
        </w:tc>
        <w:tc>
          <w:tcPr>
            <w:tcW w:w="1388" w:type="dxa"/>
          </w:tcPr>
          <w:p>
            <w:pPr>
              <w:pStyle w:val="TableParagraph"/>
              <w:ind w:right="41"/>
              <w:rPr>
                <w:sz w:val="20"/>
              </w:rPr>
            </w:pPr>
            <w:r>
              <w:rPr>
                <w:color w:val="000009"/>
                <w:sz w:val="20"/>
              </w:rPr>
              <w:t>1.29%</w:t>
            </w:r>
          </w:p>
        </w:tc>
      </w:tr>
      <w:tr>
        <w:trPr>
          <w:trHeight w:val="340" w:hRule="atLeast"/>
        </w:trPr>
        <w:tc>
          <w:tcPr>
            <w:tcW w:w="914" w:type="dxa"/>
          </w:tcPr>
          <w:p>
            <w:pPr>
              <w:pStyle w:val="TableParagraph"/>
              <w:ind w:left="57" w:right="0"/>
              <w:jc w:val="left"/>
              <w:rPr>
                <w:sz w:val="20"/>
              </w:rPr>
            </w:pPr>
            <w:r>
              <w:rPr>
                <w:color w:val="000009"/>
                <w:sz w:val="20"/>
              </w:rPr>
              <w:t>INTC</w:t>
            </w:r>
          </w:p>
        </w:tc>
        <w:tc>
          <w:tcPr>
            <w:tcW w:w="1242" w:type="dxa"/>
          </w:tcPr>
          <w:p>
            <w:pPr>
              <w:pStyle w:val="TableParagraph"/>
              <w:rPr>
                <w:sz w:val="20"/>
              </w:rPr>
            </w:pPr>
            <w:r>
              <w:rPr>
                <w:color w:val="000009"/>
                <w:sz w:val="20"/>
              </w:rPr>
              <w:t>11.35%</w:t>
            </w:r>
          </w:p>
        </w:tc>
        <w:tc>
          <w:tcPr>
            <w:tcW w:w="1538" w:type="dxa"/>
          </w:tcPr>
          <w:p>
            <w:pPr>
              <w:pStyle w:val="TableParagraph"/>
              <w:rPr>
                <w:sz w:val="20"/>
              </w:rPr>
            </w:pPr>
            <w:r>
              <w:rPr>
                <w:color w:val="000009"/>
                <w:sz w:val="20"/>
              </w:rPr>
              <w:t>10.55%</w:t>
            </w:r>
          </w:p>
        </w:tc>
        <w:tc>
          <w:tcPr>
            <w:tcW w:w="1520" w:type="dxa"/>
          </w:tcPr>
          <w:p>
            <w:pPr>
              <w:pStyle w:val="TableParagraph"/>
              <w:ind w:right="41"/>
              <w:rPr>
                <w:sz w:val="20"/>
              </w:rPr>
            </w:pPr>
            <w:r>
              <w:rPr>
                <w:color w:val="000009"/>
                <w:sz w:val="20"/>
              </w:rPr>
              <w:t>5.91%</w:t>
            </w:r>
          </w:p>
        </w:tc>
        <w:tc>
          <w:tcPr>
            <w:tcW w:w="1630" w:type="dxa"/>
          </w:tcPr>
          <w:p>
            <w:pPr>
              <w:pStyle w:val="TableParagraph"/>
              <w:rPr>
                <w:sz w:val="20"/>
              </w:rPr>
            </w:pPr>
            <w:r>
              <w:rPr>
                <w:color w:val="000009"/>
                <w:sz w:val="20"/>
              </w:rPr>
              <w:t>-14.82%</w:t>
            </w:r>
          </w:p>
        </w:tc>
        <w:tc>
          <w:tcPr>
            <w:tcW w:w="1388" w:type="dxa"/>
          </w:tcPr>
          <w:p>
            <w:pPr>
              <w:pStyle w:val="TableParagraph"/>
              <w:rPr>
                <w:sz w:val="20"/>
              </w:rPr>
            </w:pPr>
            <w:r>
              <w:rPr>
                <w:color w:val="000009"/>
                <w:sz w:val="20"/>
              </w:rPr>
              <w:t>-7.43%</w:t>
            </w:r>
          </w:p>
        </w:tc>
      </w:tr>
      <w:tr>
        <w:trPr>
          <w:trHeight w:val="342" w:hRule="atLeast"/>
        </w:trPr>
        <w:tc>
          <w:tcPr>
            <w:tcW w:w="914" w:type="dxa"/>
          </w:tcPr>
          <w:p>
            <w:pPr>
              <w:pStyle w:val="TableParagraph"/>
              <w:ind w:left="57" w:right="0"/>
              <w:jc w:val="left"/>
              <w:rPr>
                <w:sz w:val="20"/>
              </w:rPr>
            </w:pPr>
            <w:r>
              <w:rPr>
                <w:color w:val="000009"/>
                <w:sz w:val="20"/>
              </w:rPr>
              <w:t>JNJ</w:t>
            </w:r>
          </w:p>
        </w:tc>
        <w:tc>
          <w:tcPr>
            <w:tcW w:w="1242" w:type="dxa"/>
          </w:tcPr>
          <w:p>
            <w:pPr>
              <w:pStyle w:val="TableParagraph"/>
              <w:rPr>
                <w:sz w:val="20"/>
              </w:rPr>
            </w:pPr>
            <w:r>
              <w:rPr>
                <w:color w:val="000009"/>
                <w:sz w:val="20"/>
              </w:rPr>
              <w:t>5.70%</w:t>
            </w:r>
          </w:p>
        </w:tc>
        <w:tc>
          <w:tcPr>
            <w:tcW w:w="1538" w:type="dxa"/>
          </w:tcPr>
          <w:p>
            <w:pPr>
              <w:pStyle w:val="TableParagraph"/>
              <w:rPr>
                <w:sz w:val="20"/>
              </w:rPr>
            </w:pPr>
            <w:r>
              <w:rPr>
                <w:color w:val="000009"/>
                <w:sz w:val="20"/>
              </w:rPr>
              <w:t>16.84%</w:t>
            </w:r>
          </w:p>
        </w:tc>
        <w:tc>
          <w:tcPr>
            <w:tcW w:w="1520" w:type="dxa"/>
          </w:tcPr>
          <w:p>
            <w:pPr>
              <w:pStyle w:val="TableParagraph"/>
              <w:ind w:right="41"/>
              <w:rPr>
                <w:sz w:val="20"/>
              </w:rPr>
            </w:pPr>
            <w:r>
              <w:rPr>
                <w:color w:val="000009"/>
                <w:sz w:val="20"/>
              </w:rPr>
              <w:t>28.23%</w:t>
            </w:r>
          </w:p>
        </w:tc>
        <w:tc>
          <w:tcPr>
            <w:tcW w:w="1630" w:type="dxa"/>
          </w:tcPr>
          <w:p>
            <w:pPr>
              <w:pStyle w:val="TableParagraph"/>
              <w:rPr>
                <w:sz w:val="20"/>
              </w:rPr>
            </w:pPr>
            <w:r>
              <w:rPr>
                <w:color w:val="000009"/>
                <w:sz w:val="20"/>
              </w:rPr>
              <w:t>3.41%</w:t>
            </w:r>
          </w:p>
        </w:tc>
        <w:tc>
          <w:tcPr>
            <w:tcW w:w="1388" w:type="dxa"/>
          </w:tcPr>
          <w:p>
            <w:pPr>
              <w:pStyle w:val="TableParagraph"/>
              <w:ind w:right="41"/>
              <w:rPr>
                <w:sz w:val="20"/>
              </w:rPr>
            </w:pPr>
            <w:r>
              <w:rPr>
                <w:color w:val="000009"/>
                <w:sz w:val="20"/>
              </w:rPr>
              <w:t>1.75%</w:t>
            </w:r>
          </w:p>
        </w:tc>
      </w:tr>
      <w:tr>
        <w:trPr>
          <w:trHeight w:val="340" w:hRule="atLeast"/>
        </w:trPr>
        <w:tc>
          <w:tcPr>
            <w:tcW w:w="914" w:type="dxa"/>
          </w:tcPr>
          <w:p>
            <w:pPr>
              <w:pStyle w:val="TableParagraph"/>
              <w:ind w:left="57" w:right="0"/>
              <w:jc w:val="left"/>
              <w:rPr>
                <w:sz w:val="20"/>
              </w:rPr>
            </w:pPr>
            <w:r>
              <w:rPr>
                <w:color w:val="000009"/>
                <w:sz w:val="20"/>
              </w:rPr>
              <w:t>JPM</w:t>
            </w:r>
          </w:p>
        </w:tc>
        <w:tc>
          <w:tcPr>
            <w:tcW w:w="1242" w:type="dxa"/>
          </w:tcPr>
          <w:p>
            <w:pPr>
              <w:pStyle w:val="TableParagraph"/>
              <w:rPr>
                <w:sz w:val="20"/>
              </w:rPr>
            </w:pPr>
            <w:r>
              <w:rPr>
                <w:color w:val="000009"/>
                <w:sz w:val="20"/>
              </w:rPr>
              <w:t>20.00%</w:t>
            </w:r>
          </w:p>
        </w:tc>
        <w:tc>
          <w:tcPr>
            <w:tcW w:w="1538" w:type="dxa"/>
          </w:tcPr>
          <w:p>
            <w:pPr>
              <w:pStyle w:val="TableParagraph"/>
              <w:rPr>
                <w:sz w:val="20"/>
              </w:rPr>
            </w:pPr>
            <w:r>
              <w:rPr>
                <w:color w:val="000009"/>
                <w:sz w:val="20"/>
              </w:rPr>
              <w:t>3.94%</w:t>
            </w:r>
          </w:p>
        </w:tc>
        <w:tc>
          <w:tcPr>
            <w:tcW w:w="1520" w:type="dxa"/>
          </w:tcPr>
          <w:p>
            <w:pPr>
              <w:pStyle w:val="TableParagraph"/>
              <w:ind w:right="41"/>
              <w:rPr>
                <w:sz w:val="20"/>
              </w:rPr>
            </w:pPr>
            <w:r>
              <w:rPr>
                <w:color w:val="000009"/>
                <w:sz w:val="20"/>
              </w:rPr>
              <w:t>18.65%</w:t>
            </w:r>
          </w:p>
        </w:tc>
        <w:tc>
          <w:tcPr>
            <w:tcW w:w="1630" w:type="dxa"/>
          </w:tcPr>
          <w:p>
            <w:pPr>
              <w:pStyle w:val="TableParagraph"/>
              <w:rPr>
                <w:sz w:val="20"/>
              </w:rPr>
            </w:pPr>
            <w:r>
              <w:rPr>
                <w:color w:val="000009"/>
                <w:sz w:val="20"/>
              </w:rPr>
              <w:t>4.75%</w:t>
            </w:r>
          </w:p>
        </w:tc>
        <w:tc>
          <w:tcPr>
            <w:tcW w:w="1388" w:type="dxa"/>
          </w:tcPr>
          <w:p>
            <w:pPr>
              <w:pStyle w:val="TableParagraph"/>
              <w:ind w:right="41"/>
              <w:rPr>
                <w:sz w:val="20"/>
              </w:rPr>
            </w:pPr>
            <w:r>
              <w:rPr>
                <w:color w:val="000009"/>
                <w:sz w:val="20"/>
              </w:rPr>
              <w:t>9.80%</w:t>
            </w:r>
          </w:p>
        </w:tc>
      </w:tr>
      <w:tr>
        <w:trPr>
          <w:trHeight w:val="342" w:hRule="atLeast"/>
        </w:trPr>
        <w:tc>
          <w:tcPr>
            <w:tcW w:w="914" w:type="dxa"/>
          </w:tcPr>
          <w:p>
            <w:pPr>
              <w:pStyle w:val="TableParagraph"/>
              <w:ind w:left="57" w:right="0"/>
              <w:jc w:val="left"/>
              <w:rPr>
                <w:sz w:val="20"/>
              </w:rPr>
            </w:pPr>
            <w:r>
              <w:rPr>
                <w:color w:val="000009"/>
                <w:sz w:val="20"/>
              </w:rPr>
              <w:t>KO</w:t>
            </w:r>
          </w:p>
        </w:tc>
        <w:tc>
          <w:tcPr>
            <w:tcW w:w="1242" w:type="dxa"/>
          </w:tcPr>
          <w:p>
            <w:pPr>
              <w:pStyle w:val="TableParagraph"/>
              <w:rPr>
                <w:sz w:val="20"/>
              </w:rPr>
            </w:pPr>
            <w:r>
              <w:rPr>
                <w:color w:val="000009"/>
                <w:sz w:val="20"/>
              </w:rPr>
              <w:t>16.78%</w:t>
            </w:r>
          </w:p>
        </w:tc>
        <w:tc>
          <w:tcPr>
            <w:tcW w:w="1538" w:type="dxa"/>
          </w:tcPr>
          <w:p>
            <w:pPr>
              <w:pStyle w:val="TableParagraph"/>
              <w:rPr>
                <w:sz w:val="20"/>
              </w:rPr>
            </w:pPr>
            <w:r>
              <w:rPr>
                <w:color w:val="000009"/>
                <w:sz w:val="20"/>
              </w:rPr>
              <w:t>21.31%</w:t>
            </w:r>
          </w:p>
        </w:tc>
        <w:tc>
          <w:tcPr>
            <w:tcW w:w="1520" w:type="dxa"/>
          </w:tcPr>
          <w:p>
            <w:pPr>
              <w:pStyle w:val="TableParagraph"/>
              <w:ind w:right="41"/>
              <w:rPr>
                <w:sz w:val="20"/>
              </w:rPr>
            </w:pPr>
            <w:r>
              <w:rPr>
                <w:color w:val="000009"/>
                <w:sz w:val="20"/>
              </w:rPr>
              <w:t>16.74%</w:t>
            </w:r>
          </w:p>
        </w:tc>
        <w:tc>
          <w:tcPr>
            <w:tcW w:w="1630" w:type="dxa"/>
          </w:tcPr>
          <w:p>
            <w:pPr>
              <w:pStyle w:val="TableParagraph"/>
              <w:rPr>
                <w:sz w:val="20"/>
              </w:rPr>
            </w:pPr>
            <w:r>
              <w:rPr>
                <w:color w:val="000009"/>
                <w:sz w:val="20"/>
              </w:rPr>
              <w:t>10.17%</w:t>
            </w:r>
          </w:p>
        </w:tc>
        <w:tc>
          <w:tcPr>
            <w:tcW w:w="1388" w:type="dxa"/>
          </w:tcPr>
          <w:p>
            <w:pPr>
              <w:pStyle w:val="TableParagraph"/>
              <w:ind w:right="41"/>
              <w:rPr>
                <w:sz w:val="20"/>
              </w:rPr>
            </w:pPr>
            <w:r>
              <w:rPr>
                <w:color w:val="000009"/>
                <w:sz w:val="20"/>
              </w:rPr>
              <w:t>7.78%</w:t>
            </w:r>
          </w:p>
        </w:tc>
      </w:tr>
      <w:tr>
        <w:trPr>
          <w:trHeight w:val="340" w:hRule="atLeast"/>
        </w:trPr>
        <w:tc>
          <w:tcPr>
            <w:tcW w:w="914" w:type="dxa"/>
          </w:tcPr>
          <w:p>
            <w:pPr>
              <w:pStyle w:val="TableParagraph"/>
              <w:ind w:left="57" w:right="0"/>
              <w:jc w:val="left"/>
              <w:rPr>
                <w:sz w:val="20"/>
              </w:rPr>
            </w:pPr>
            <w:r>
              <w:rPr>
                <w:color w:val="000009"/>
                <w:sz w:val="20"/>
              </w:rPr>
              <w:t>MCD</w:t>
            </w:r>
          </w:p>
        </w:tc>
        <w:tc>
          <w:tcPr>
            <w:tcW w:w="1242" w:type="dxa"/>
          </w:tcPr>
          <w:p>
            <w:pPr>
              <w:pStyle w:val="TableParagraph"/>
              <w:rPr>
                <w:sz w:val="20"/>
              </w:rPr>
            </w:pPr>
            <w:r>
              <w:rPr>
                <w:color w:val="000009"/>
                <w:sz w:val="20"/>
              </w:rPr>
              <w:t>2.78%</w:t>
            </w:r>
          </w:p>
        </w:tc>
        <w:tc>
          <w:tcPr>
            <w:tcW w:w="1538" w:type="dxa"/>
          </w:tcPr>
          <w:p>
            <w:pPr>
              <w:pStyle w:val="TableParagraph"/>
              <w:rPr>
                <w:sz w:val="20"/>
              </w:rPr>
            </w:pPr>
            <w:r>
              <w:rPr>
                <w:color w:val="000009"/>
                <w:sz w:val="20"/>
              </w:rPr>
              <w:t>11.28%</w:t>
            </w:r>
          </w:p>
        </w:tc>
        <w:tc>
          <w:tcPr>
            <w:tcW w:w="1520" w:type="dxa"/>
          </w:tcPr>
          <w:p>
            <w:pPr>
              <w:pStyle w:val="TableParagraph"/>
              <w:ind w:right="41"/>
              <w:rPr>
                <w:sz w:val="20"/>
              </w:rPr>
            </w:pPr>
            <w:r>
              <w:rPr>
                <w:color w:val="000009"/>
                <w:sz w:val="20"/>
              </w:rPr>
              <w:t>10.46%</w:t>
            </w:r>
          </w:p>
        </w:tc>
        <w:tc>
          <w:tcPr>
            <w:tcW w:w="1630" w:type="dxa"/>
          </w:tcPr>
          <w:p>
            <w:pPr>
              <w:pStyle w:val="TableParagraph"/>
              <w:rPr>
                <w:sz w:val="20"/>
              </w:rPr>
            </w:pPr>
            <w:r>
              <w:rPr>
                <w:color w:val="000009"/>
                <w:sz w:val="20"/>
              </w:rPr>
              <w:t>9.23%</w:t>
            </w:r>
          </w:p>
        </w:tc>
        <w:tc>
          <w:tcPr>
            <w:tcW w:w="1388" w:type="dxa"/>
          </w:tcPr>
          <w:p>
            <w:pPr>
              <w:pStyle w:val="TableParagraph"/>
              <w:ind w:right="41"/>
              <w:rPr>
                <w:sz w:val="20"/>
              </w:rPr>
            </w:pPr>
            <w:r>
              <w:rPr>
                <w:color w:val="000009"/>
                <w:sz w:val="20"/>
              </w:rPr>
              <w:t>12.91%</w:t>
            </w:r>
          </w:p>
        </w:tc>
      </w:tr>
      <w:tr>
        <w:trPr>
          <w:trHeight w:val="341" w:hRule="atLeast"/>
        </w:trPr>
        <w:tc>
          <w:tcPr>
            <w:tcW w:w="914" w:type="dxa"/>
          </w:tcPr>
          <w:p>
            <w:pPr>
              <w:pStyle w:val="TableParagraph"/>
              <w:ind w:left="57" w:right="0"/>
              <w:jc w:val="left"/>
              <w:rPr>
                <w:sz w:val="20"/>
              </w:rPr>
            </w:pPr>
            <w:r>
              <w:rPr>
                <w:color w:val="000009"/>
                <w:sz w:val="20"/>
              </w:rPr>
              <w:t>MMM</w:t>
            </w:r>
          </w:p>
        </w:tc>
        <w:tc>
          <w:tcPr>
            <w:tcW w:w="1242" w:type="dxa"/>
          </w:tcPr>
          <w:p>
            <w:pPr>
              <w:pStyle w:val="TableParagraph"/>
              <w:rPr>
                <w:sz w:val="20"/>
              </w:rPr>
            </w:pPr>
            <w:r>
              <w:rPr>
                <w:color w:val="000009"/>
                <w:sz w:val="20"/>
              </w:rPr>
              <w:t>16.56%</w:t>
            </w:r>
          </w:p>
        </w:tc>
        <w:tc>
          <w:tcPr>
            <w:tcW w:w="1538" w:type="dxa"/>
          </w:tcPr>
          <w:p>
            <w:pPr>
              <w:pStyle w:val="TableParagraph"/>
              <w:rPr>
                <w:sz w:val="20"/>
              </w:rPr>
            </w:pPr>
            <w:r>
              <w:rPr>
                <w:color w:val="000009"/>
                <w:sz w:val="20"/>
              </w:rPr>
              <w:t>-100.00%</w:t>
            </w:r>
          </w:p>
        </w:tc>
        <w:tc>
          <w:tcPr>
            <w:tcW w:w="1520" w:type="dxa"/>
          </w:tcPr>
          <w:p>
            <w:pPr>
              <w:pStyle w:val="TableParagraph"/>
              <w:ind w:right="41"/>
              <w:rPr>
                <w:sz w:val="20"/>
              </w:rPr>
            </w:pPr>
            <w:r>
              <w:rPr>
                <w:color w:val="000009"/>
                <w:sz w:val="20"/>
              </w:rPr>
              <w:t>0.99%</w:t>
            </w:r>
          </w:p>
        </w:tc>
        <w:tc>
          <w:tcPr>
            <w:tcW w:w="1630" w:type="dxa"/>
          </w:tcPr>
          <w:p>
            <w:pPr>
              <w:pStyle w:val="TableParagraph"/>
              <w:rPr>
                <w:sz w:val="20"/>
              </w:rPr>
            </w:pPr>
            <w:r>
              <w:rPr>
                <w:color w:val="000009"/>
                <w:sz w:val="20"/>
              </w:rPr>
              <w:t>11.81%</w:t>
            </w:r>
          </w:p>
        </w:tc>
        <w:tc>
          <w:tcPr>
            <w:tcW w:w="1388" w:type="dxa"/>
          </w:tcPr>
          <w:p>
            <w:pPr>
              <w:pStyle w:val="TableParagraph"/>
              <w:ind w:right="41"/>
              <w:rPr>
                <w:sz w:val="20"/>
              </w:rPr>
            </w:pPr>
            <w:r>
              <w:rPr>
                <w:color w:val="000009"/>
                <w:sz w:val="20"/>
              </w:rPr>
              <w:t>2.58%</w:t>
            </w:r>
          </w:p>
        </w:tc>
      </w:tr>
      <w:tr>
        <w:trPr>
          <w:trHeight w:val="340" w:hRule="atLeast"/>
        </w:trPr>
        <w:tc>
          <w:tcPr>
            <w:tcW w:w="914" w:type="dxa"/>
          </w:tcPr>
          <w:p>
            <w:pPr>
              <w:pStyle w:val="TableParagraph"/>
              <w:ind w:left="57" w:right="0"/>
              <w:jc w:val="left"/>
              <w:rPr>
                <w:sz w:val="20"/>
              </w:rPr>
            </w:pPr>
            <w:r>
              <w:rPr>
                <w:color w:val="000009"/>
                <w:sz w:val="20"/>
              </w:rPr>
              <w:t>MRK</w:t>
            </w:r>
          </w:p>
        </w:tc>
        <w:tc>
          <w:tcPr>
            <w:tcW w:w="1242" w:type="dxa"/>
          </w:tcPr>
          <w:p>
            <w:pPr>
              <w:pStyle w:val="TableParagraph"/>
              <w:rPr>
                <w:sz w:val="20"/>
              </w:rPr>
            </w:pPr>
            <w:r>
              <w:rPr>
                <w:color w:val="000009"/>
                <w:sz w:val="20"/>
              </w:rPr>
              <w:t>14.24%</w:t>
            </w:r>
          </w:p>
        </w:tc>
        <w:tc>
          <w:tcPr>
            <w:tcW w:w="1538" w:type="dxa"/>
          </w:tcPr>
          <w:p>
            <w:pPr>
              <w:pStyle w:val="TableParagraph"/>
              <w:rPr>
                <w:sz w:val="20"/>
              </w:rPr>
            </w:pPr>
            <w:r>
              <w:rPr>
                <w:color w:val="000009"/>
                <w:sz w:val="20"/>
              </w:rPr>
              <w:t>13.89%</w:t>
            </w:r>
          </w:p>
        </w:tc>
        <w:tc>
          <w:tcPr>
            <w:tcW w:w="1520" w:type="dxa"/>
          </w:tcPr>
          <w:p>
            <w:pPr>
              <w:pStyle w:val="TableParagraph"/>
              <w:ind w:right="41"/>
              <w:rPr>
                <w:sz w:val="20"/>
              </w:rPr>
            </w:pPr>
            <w:r>
              <w:rPr>
                <w:color w:val="000009"/>
                <w:sz w:val="20"/>
              </w:rPr>
              <w:t>12.42%</w:t>
            </w:r>
          </w:p>
        </w:tc>
        <w:tc>
          <w:tcPr>
            <w:tcW w:w="1630" w:type="dxa"/>
          </w:tcPr>
          <w:p>
            <w:pPr>
              <w:pStyle w:val="TableParagraph"/>
              <w:rPr>
                <w:sz w:val="20"/>
              </w:rPr>
            </w:pPr>
            <w:r>
              <w:rPr>
                <w:color w:val="000009"/>
                <w:sz w:val="20"/>
              </w:rPr>
              <w:t>2.93%</w:t>
            </w:r>
          </w:p>
        </w:tc>
        <w:tc>
          <w:tcPr>
            <w:tcW w:w="1388" w:type="dxa"/>
          </w:tcPr>
          <w:p>
            <w:pPr>
              <w:pStyle w:val="TableParagraph"/>
              <w:rPr>
                <w:sz w:val="20"/>
              </w:rPr>
            </w:pPr>
            <w:r>
              <w:rPr>
                <w:color w:val="000009"/>
                <w:sz w:val="20"/>
              </w:rPr>
              <w:t>-8.35%</w:t>
            </w:r>
          </w:p>
        </w:tc>
      </w:tr>
      <w:tr>
        <w:trPr>
          <w:trHeight w:val="342" w:hRule="atLeast"/>
        </w:trPr>
        <w:tc>
          <w:tcPr>
            <w:tcW w:w="914" w:type="dxa"/>
          </w:tcPr>
          <w:p>
            <w:pPr>
              <w:pStyle w:val="TableParagraph"/>
              <w:ind w:left="57" w:right="0"/>
              <w:jc w:val="left"/>
              <w:rPr>
                <w:sz w:val="20"/>
              </w:rPr>
            </w:pPr>
            <w:r>
              <w:rPr>
                <w:color w:val="000009"/>
                <w:sz w:val="20"/>
              </w:rPr>
              <w:t>MSFT</w:t>
            </w:r>
          </w:p>
        </w:tc>
        <w:tc>
          <w:tcPr>
            <w:tcW w:w="1242" w:type="dxa"/>
          </w:tcPr>
          <w:p>
            <w:pPr>
              <w:pStyle w:val="TableParagraph"/>
              <w:rPr>
                <w:sz w:val="20"/>
              </w:rPr>
            </w:pPr>
            <w:r>
              <w:rPr>
                <w:color w:val="000009"/>
                <w:sz w:val="20"/>
              </w:rPr>
              <w:t>-0.93%</w:t>
            </w:r>
          </w:p>
        </w:tc>
        <w:tc>
          <w:tcPr>
            <w:tcW w:w="1538" w:type="dxa"/>
          </w:tcPr>
          <w:p>
            <w:pPr>
              <w:pStyle w:val="TableParagraph"/>
              <w:rPr>
                <w:sz w:val="20"/>
              </w:rPr>
            </w:pPr>
            <w:r>
              <w:rPr>
                <w:color w:val="000009"/>
                <w:sz w:val="20"/>
              </w:rPr>
              <w:t>2.12%</w:t>
            </w:r>
          </w:p>
        </w:tc>
        <w:tc>
          <w:tcPr>
            <w:tcW w:w="1520" w:type="dxa"/>
          </w:tcPr>
          <w:p>
            <w:pPr>
              <w:pStyle w:val="TableParagraph"/>
              <w:ind w:right="41"/>
              <w:rPr>
                <w:sz w:val="20"/>
              </w:rPr>
            </w:pPr>
            <w:r>
              <w:rPr>
                <w:color w:val="000009"/>
                <w:sz w:val="20"/>
              </w:rPr>
              <w:t>5.94%</w:t>
            </w:r>
          </w:p>
        </w:tc>
        <w:tc>
          <w:tcPr>
            <w:tcW w:w="1630" w:type="dxa"/>
          </w:tcPr>
          <w:p>
            <w:pPr>
              <w:pStyle w:val="TableParagraph"/>
              <w:rPr>
                <w:sz w:val="20"/>
              </w:rPr>
            </w:pPr>
            <w:r>
              <w:rPr>
                <w:color w:val="000009"/>
                <w:sz w:val="20"/>
              </w:rPr>
              <w:t>-0.88%</w:t>
            </w:r>
          </w:p>
        </w:tc>
        <w:tc>
          <w:tcPr>
            <w:tcW w:w="1388" w:type="dxa"/>
          </w:tcPr>
          <w:p>
            <w:pPr>
              <w:pStyle w:val="TableParagraph"/>
              <w:ind w:right="41"/>
              <w:rPr>
                <w:sz w:val="20"/>
              </w:rPr>
            </w:pPr>
            <w:r>
              <w:rPr>
                <w:color w:val="000009"/>
                <w:sz w:val="20"/>
              </w:rPr>
              <w:t>4.77%</w:t>
            </w:r>
          </w:p>
        </w:tc>
      </w:tr>
      <w:tr>
        <w:trPr>
          <w:trHeight w:val="340" w:hRule="atLeast"/>
        </w:trPr>
        <w:tc>
          <w:tcPr>
            <w:tcW w:w="914" w:type="dxa"/>
          </w:tcPr>
          <w:p>
            <w:pPr>
              <w:pStyle w:val="TableParagraph"/>
              <w:ind w:left="57" w:right="0"/>
              <w:jc w:val="left"/>
              <w:rPr>
                <w:sz w:val="20"/>
              </w:rPr>
            </w:pPr>
            <w:r>
              <w:rPr>
                <w:color w:val="000009"/>
                <w:sz w:val="20"/>
              </w:rPr>
              <w:t>PFE</w:t>
            </w:r>
          </w:p>
        </w:tc>
        <w:tc>
          <w:tcPr>
            <w:tcW w:w="1242" w:type="dxa"/>
          </w:tcPr>
          <w:p>
            <w:pPr>
              <w:pStyle w:val="TableParagraph"/>
              <w:rPr>
                <w:sz w:val="20"/>
              </w:rPr>
            </w:pPr>
            <w:r>
              <w:rPr>
                <w:color w:val="000009"/>
                <w:sz w:val="20"/>
              </w:rPr>
              <w:t>17.22%</w:t>
            </w:r>
          </w:p>
        </w:tc>
        <w:tc>
          <w:tcPr>
            <w:tcW w:w="1538" w:type="dxa"/>
          </w:tcPr>
          <w:p>
            <w:pPr>
              <w:pStyle w:val="TableParagraph"/>
              <w:rPr>
                <w:sz w:val="20"/>
              </w:rPr>
            </w:pPr>
            <w:r>
              <w:rPr>
                <w:color w:val="000009"/>
                <w:sz w:val="20"/>
              </w:rPr>
              <w:t>27.55%</w:t>
            </w:r>
          </w:p>
        </w:tc>
        <w:tc>
          <w:tcPr>
            <w:tcW w:w="1520" w:type="dxa"/>
          </w:tcPr>
          <w:p>
            <w:pPr>
              <w:pStyle w:val="TableParagraph"/>
              <w:ind w:right="41"/>
              <w:rPr>
                <w:sz w:val="20"/>
              </w:rPr>
            </w:pPr>
            <w:r>
              <w:rPr>
                <w:color w:val="000009"/>
                <w:sz w:val="20"/>
              </w:rPr>
              <w:t>23.28%</w:t>
            </w:r>
          </w:p>
        </w:tc>
        <w:tc>
          <w:tcPr>
            <w:tcW w:w="1630" w:type="dxa"/>
          </w:tcPr>
          <w:p>
            <w:pPr>
              <w:pStyle w:val="TableParagraph"/>
              <w:rPr>
                <w:sz w:val="20"/>
              </w:rPr>
            </w:pPr>
            <w:r>
              <w:rPr>
                <w:color w:val="000009"/>
                <w:sz w:val="20"/>
              </w:rPr>
              <w:t>3.78%</w:t>
            </w:r>
          </w:p>
        </w:tc>
        <w:tc>
          <w:tcPr>
            <w:tcW w:w="1388" w:type="dxa"/>
          </w:tcPr>
          <w:p>
            <w:pPr>
              <w:pStyle w:val="TableParagraph"/>
              <w:ind w:right="41"/>
              <w:rPr>
                <w:sz w:val="20"/>
              </w:rPr>
            </w:pPr>
            <w:r>
              <w:rPr>
                <w:color w:val="000009"/>
                <w:sz w:val="20"/>
              </w:rPr>
              <w:t>10.01%</w:t>
            </w:r>
          </w:p>
        </w:tc>
      </w:tr>
      <w:tr>
        <w:trPr>
          <w:trHeight w:val="342" w:hRule="atLeast"/>
        </w:trPr>
        <w:tc>
          <w:tcPr>
            <w:tcW w:w="914" w:type="dxa"/>
          </w:tcPr>
          <w:p>
            <w:pPr>
              <w:pStyle w:val="TableParagraph"/>
              <w:ind w:left="57" w:right="0"/>
              <w:jc w:val="left"/>
              <w:rPr>
                <w:sz w:val="20"/>
              </w:rPr>
            </w:pPr>
            <w:r>
              <w:rPr>
                <w:color w:val="000009"/>
                <w:sz w:val="20"/>
              </w:rPr>
              <w:t>PG</w:t>
            </w:r>
          </w:p>
        </w:tc>
        <w:tc>
          <w:tcPr>
            <w:tcW w:w="1242" w:type="dxa"/>
          </w:tcPr>
          <w:p>
            <w:pPr>
              <w:pStyle w:val="TableParagraph"/>
              <w:rPr>
                <w:sz w:val="20"/>
              </w:rPr>
            </w:pPr>
            <w:r>
              <w:rPr>
                <w:color w:val="000009"/>
                <w:sz w:val="20"/>
              </w:rPr>
              <w:t>-14.45%</w:t>
            </w:r>
          </w:p>
        </w:tc>
        <w:tc>
          <w:tcPr>
            <w:tcW w:w="1538" w:type="dxa"/>
          </w:tcPr>
          <w:p>
            <w:pPr>
              <w:pStyle w:val="TableParagraph"/>
              <w:rPr>
                <w:sz w:val="20"/>
              </w:rPr>
            </w:pPr>
            <w:r>
              <w:rPr>
                <w:color w:val="000009"/>
                <w:sz w:val="20"/>
              </w:rPr>
              <w:t>-13.68%</w:t>
            </w:r>
          </w:p>
        </w:tc>
        <w:tc>
          <w:tcPr>
            <w:tcW w:w="1520" w:type="dxa"/>
          </w:tcPr>
          <w:p>
            <w:pPr>
              <w:pStyle w:val="TableParagraph"/>
              <w:ind w:right="41"/>
              <w:rPr>
                <w:sz w:val="20"/>
              </w:rPr>
            </w:pPr>
            <w:r>
              <w:rPr>
                <w:color w:val="000009"/>
                <w:sz w:val="20"/>
              </w:rPr>
              <w:t>5.56%</w:t>
            </w:r>
          </w:p>
        </w:tc>
        <w:tc>
          <w:tcPr>
            <w:tcW w:w="1630" w:type="dxa"/>
          </w:tcPr>
          <w:p>
            <w:pPr>
              <w:pStyle w:val="TableParagraph"/>
              <w:rPr>
                <w:sz w:val="20"/>
              </w:rPr>
            </w:pPr>
            <w:r>
              <w:rPr>
                <w:color w:val="000009"/>
                <w:sz w:val="20"/>
              </w:rPr>
              <w:t>-11.76%</w:t>
            </w:r>
          </w:p>
        </w:tc>
        <w:tc>
          <w:tcPr>
            <w:tcW w:w="1388" w:type="dxa"/>
          </w:tcPr>
          <w:p>
            <w:pPr>
              <w:pStyle w:val="TableParagraph"/>
              <w:ind w:right="41"/>
              <w:rPr>
                <w:sz w:val="20"/>
              </w:rPr>
            </w:pPr>
            <w:r>
              <w:rPr>
                <w:color w:val="000009"/>
                <w:sz w:val="20"/>
              </w:rPr>
              <w:t>5.95%</w:t>
            </w:r>
          </w:p>
        </w:tc>
      </w:tr>
      <w:tr>
        <w:trPr>
          <w:trHeight w:val="340" w:hRule="atLeast"/>
        </w:trPr>
        <w:tc>
          <w:tcPr>
            <w:tcW w:w="914" w:type="dxa"/>
          </w:tcPr>
          <w:p>
            <w:pPr>
              <w:pStyle w:val="TableParagraph"/>
              <w:ind w:left="57" w:right="0"/>
              <w:jc w:val="left"/>
              <w:rPr>
                <w:sz w:val="20"/>
              </w:rPr>
            </w:pPr>
            <w:r>
              <w:rPr>
                <w:color w:val="000009"/>
                <w:sz w:val="20"/>
              </w:rPr>
              <w:t>TRV</w:t>
            </w:r>
          </w:p>
        </w:tc>
        <w:tc>
          <w:tcPr>
            <w:tcW w:w="1242" w:type="dxa"/>
          </w:tcPr>
          <w:p>
            <w:pPr>
              <w:pStyle w:val="TableParagraph"/>
              <w:rPr>
                <w:sz w:val="20"/>
              </w:rPr>
            </w:pPr>
            <w:r>
              <w:rPr>
                <w:color w:val="000009"/>
                <w:sz w:val="20"/>
              </w:rPr>
              <w:t>25.50%</w:t>
            </w:r>
          </w:p>
        </w:tc>
        <w:tc>
          <w:tcPr>
            <w:tcW w:w="1538" w:type="dxa"/>
          </w:tcPr>
          <w:p>
            <w:pPr>
              <w:pStyle w:val="TableParagraph"/>
              <w:rPr>
                <w:sz w:val="20"/>
              </w:rPr>
            </w:pPr>
            <w:r>
              <w:rPr>
                <w:color w:val="000009"/>
                <w:sz w:val="20"/>
              </w:rPr>
              <w:t>26.50%</w:t>
            </w:r>
          </w:p>
        </w:tc>
        <w:tc>
          <w:tcPr>
            <w:tcW w:w="1520" w:type="dxa"/>
          </w:tcPr>
          <w:p>
            <w:pPr>
              <w:pStyle w:val="TableParagraph"/>
              <w:ind w:right="41"/>
              <w:rPr>
                <w:sz w:val="20"/>
              </w:rPr>
            </w:pPr>
            <w:r>
              <w:rPr>
                <w:color w:val="000009"/>
                <w:sz w:val="20"/>
              </w:rPr>
              <w:t>32.38%</w:t>
            </w:r>
          </w:p>
        </w:tc>
        <w:tc>
          <w:tcPr>
            <w:tcW w:w="1630" w:type="dxa"/>
          </w:tcPr>
          <w:p>
            <w:pPr>
              <w:pStyle w:val="TableParagraph"/>
              <w:rPr>
                <w:sz w:val="20"/>
              </w:rPr>
            </w:pPr>
            <w:r>
              <w:rPr>
                <w:color w:val="000009"/>
                <w:sz w:val="20"/>
              </w:rPr>
              <w:t>4.84%</w:t>
            </w:r>
          </w:p>
        </w:tc>
        <w:tc>
          <w:tcPr>
            <w:tcW w:w="1388" w:type="dxa"/>
          </w:tcPr>
          <w:p>
            <w:pPr>
              <w:pStyle w:val="TableParagraph"/>
              <w:ind w:right="41"/>
              <w:rPr>
                <w:sz w:val="20"/>
              </w:rPr>
            </w:pPr>
            <w:r>
              <w:rPr>
                <w:color w:val="000009"/>
                <w:sz w:val="20"/>
              </w:rPr>
              <w:t>14.49%</w:t>
            </w:r>
          </w:p>
        </w:tc>
      </w:tr>
      <w:tr>
        <w:trPr>
          <w:trHeight w:val="341" w:hRule="atLeast"/>
        </w:trPr>
        <w:tc>
          <w:tcPr>
            <w:tcW w:w="914" w:type="dxa"/>
          </w:tcPr>
          <w:p>
            <w:pPr>
              <w:pStyle w:val="TableParagraph"/>
              <w:ind w:left="57" w:right="0"/>
              <w:jc w:val="left"/>
              <w:rPr>
                <w:sz w:val="20"/>
              </w:rPr>
            </w:pPr>
            <w:r>
              <w:rPr>
                <w:color w:val="000009"/>
                <w:sz w:val="20"/>
              </w:rPr>
              <w:t>UNH</w:t>
            </w:r>
          </w:p>
        </w:tc>
        <w:tc>
          <w:tcPr>
            <w:tcW w:w="1242" w:type="dxa"/>
          </w:tcPr>
          <w:p>
            <w:pPr>
              <w:pStyle w:val="TableParagraph"/>
              <w:rPr>
                <w:sz w:val="20"/>
              </w:rPr>
            </w:pPr>
            <w:r>
              <w:rPr>
                <w:color w:val="000009"/>
                <w:sz w:val="20"/>
              </w:rPr>
              <w:t>-14.16%</w:t>
            </w:r>
          </w:p>
        </w:tc>
        <w:tc>
          <w:tcPr>
            <w:tcW w:w="1538" w:type="dxa"/>
          </w:tcPr>
          <w:p>
            <w:pPr>
              <w:pStyle w:val="TableParagraph"/>
              <w:rPr>
                <w:sz w:val="20"/>
              </w:rPr>
            </w:pPr>
            <w:r>
              <w:rPr>
                <w:color w:val="000009"/>
                <w:sz w:val="20"/>
              </w:rPr>
              <w:t>-29.90%</w:t>
            </w:r>
          </w:p>
        </w:tc>
        <w:tc>
          <w:tcPr>
            <w:tcW w:w="1520" w:type="dxa"/>
          </w:tcPr>
          <w:p>
            <w:pPr>
              <w:pStyle w:val="TableParagraph"/>
              <w:rPr>
                <w:sz w:val="20"/>
              </w:rPr>
            </w:pPr>
            <w:r>
              <w:rPr>
                <w:color w:val="000009"/>
                <w:sz w:val="20"/>
              </w:rPr>
              <w:t>-19.25%</w:t>
            </w:r>
          </w:p>
        </w:tc>
        <w:tc>
          <w:tcPr>
            <w:tcW w:w="1630" w:type="dxa"/>
          </w:tcPr>
          <w:p>
            <w:pPr>
              <w:pStyle w:val="TableParagraph"/>
              <w:rPr>
                <w:sz w:val="20"/>
              </w:rPr>
            </w:pPr>
            <w:r>
              <w:rPr>
                <w:color w:val="000009"/>
                <w:sz w:val="20"/>
              </w:rPr>
              <w:t>-4.56%</w:t>
            </w:r>
          </w:p>
        </w:tc>
        <w:tc>
          <w:tcPr>
            <w:tcW w:w="1388" w:type="dxa"/>
          </w:tcPr>
          <w:p>
            <w:pPr>
              <w:pStyle w:val="TableParagraph"/>
              <w:rPr>
                <w:sz w:val="20"/>
              </w:rPr>
            </w:pPr>
            <w:r>
              <w:rPr>
                <w:color w:val="000009"/>
                <w:sz w:val="20"/>
              </w:rPr>
              <w:t>-7.47%</w:t>
            </w:r>
          </w:p>
        </w:tc>
      </w:tr>
      <w:tr>
        <w:trPr>
          <w:trHeight w:val="340" w:hRule="atLeast"/>
        </w:trPr>
        <w:tc>
          <w:tcPr>
            <w:tcW w:w="914" w:type="dxa"/>
          </w:tcPr>
          <w:p>
            <w:pPr>
              <w:pStyle w:val="TableParagraph"/>
              <w:ind w:left="57" w:right="0"/>
              <w:jc w:val="left"/>
              <w:rPr>
                <w:sz w:val="20"/>
              </w:rPr>
            </w:pPr>
            <w:r>
              <w:rPr>
                <w:color w:val="000009"/>
                <w:sz w:val="20"/>
              </w:rPr>
              <w:t>UTX</w:t>
            </w:r>
          </w:p>
        </w:tc>
        <w:tc>
          <w:tcPr>
            <w:tcW w:w="1242" w:type="dxa"/>
          </w:tcPr>
          <w:p>
            <w:pPr>
              <w:pStyle w:val="TableParagraph"/>
              <w:rPr>
                <w:sz w:val="20"/>
              </w:rPr>
            </w:pPr>
            <w:r>
              <w:rPr>
                <w:color w:val="000009"/>
                <w:sz w:val="20"/>
              </w:rPr>
              <w:t>-2.82%</w:t>
            </w:r>
          </w:p>
        </w:tc>
        <w:tc>
          <w:tcPr>
            <w:tcW w:w="1538" w:type="dxa"/>
          </w:tcPr>
          <w:p>
            <w:pPr>
              <w:pStyle w:val="TableParagraph"/>
              <w:rPr>
                <w:sz w:val="20"/>
              </w:rPr>
            </w:pPr>
            <w:r>
              <w:rPr>
                <w:color w:val="000009"/>
                <w:sz w:val="20"/>
              </w:rPr>
              <w:t>11.37%</w:t>
            </w:r>
          </w:p>
        </w:tc>
        <w:tc>
          <w:tcPr>
            <w:tcW w:w="1520" w:type="dxa"/>
          </w:tcPr>
          <w:p>
            <w:pPr>
              <w:pStyle w:val="TableParagraph"/>
              <w:ind w:right="41"/>
              <w:rPr>
                <w:sz w:val="20"/>
              </w:rPr>
            </w:pPr>
            <w:r>
              <w:rPr>
                <w:color w:val="000009"/>
                <w:sz w:val="20"/>
              </w:rPr>
              <w:t>10.24%</w:t>
            </w:r>
          </w:p>
        </w:tc>
        <w:tc>
          <w:tcPr>
            <w:tcW w:w="1630" w:type="dxa"/>
          </w:tcPr>
          <w:p>
            <w:pPr>
              <w:pStyle w:val="TableParagraph"/>
              <w:rPr>
                <w:sz w:val="20"/>
              </w:rPr>
            </w:pPr>
            <w:r>
              <w:rPr>
                <w:color w:val="000009"/>
                <w:sz w:val="20"/>
              </w:rPr>
              <w:t>9.88%</w:t>
            </w:r>
          </w:p>
        </w:tc>
        <w:tc>
          <w:tcPr>
            <w:tcW w:w="1388" w:type="dxa"/>
          </w:tcPr>
          <w:p>
            <w:pPr>
              <w:pStyle w:val="TableParagraph"/>
              <w:ind w:right="41"/>
              <w:rPr>
                <w:sz w:val="20"/>
              </w:rPr>
            </w:pPr>
            <w:r>
              <w:rPr>
                <w:color w:val="000009"/>
                <w:sz w:val="20"/>
              </w:rPr>
              <w:t>9.33%</w:t>
            </w:r>
          </w:p>
        </w:tc>
      </w:tr>
      <w:tr>
        <w:trPr>
          <w:trHeight w:val="342" w:hRule="atLeast"/>
        </w:trPr>
        <w:tc>
          <w:tcPr>
            <w:tcW w:w="914" w:type="dxa"/>
          </w:tcPr>
          <w:p>
            <w:pPr>
              <w:pStyle w:val="TableParagraph"/>
              <w:ind w:left="57" w:right="0"/>
              <w:jc w:val="left"/>
              <w:rPr>
                <w:sz w:val="20"/>
              </w:rPr>
            </w:pPr>
            <w:r>
              <w:rPr>
                <w:color w:val="000009"/>
                <w:sz w:val="20"/>
              </w:rPr>
              <w:t>VZ</w:t>
            </w:r>
          </w:p>
        </w:tc>
        <w:tc>
          <w:tcPr>
            <w:tcW w:w="1242" w:type="dxa"/>
          </w:tcPr>
          <w:p>
            <w:pPr>
              <w:pStyle w:val="TableParagraph"/>
              <w:rPr>
                <w:sz w:val="20"/>
              </w:rPr>
            </w:pPr>
            <w:r>
              <w:rPr>
                <w:color w:val="000009"/>
                <w:sz w:val="20"/>
              </w:rPr>
              <w:t>-2.81%</w:t>
            </w:r>
          </w:p>
        </w:tc>
        <w:tc>
          <w:tcPr>
            <w:tcW w:w="1538" w:type="dxa"/>
          </w:tcPr>
          <w:p>
            <w:pPr>
              <w:pStyle w:val="TableParagraph"/>
              <w:rPr>
                <w:sz w:val="20"/>
              </w:rPr>
            </w:pPr>
            <w:r>
              <w:rPr>
                <w:color w:val="000009"/>
                <w:sz w:val="20"/>
              </w:rPr>
              <w:t>-4.38%</w:t>
            </w:r>
          </w:p>
        </w:tc>
        <w:tc>
          <w:tcPr>
            <w:tcW w:w="1520" w:type="dxa"/>
          </w:tcPr>
          <w:p>
            <w:pPr>
              <w:pStyle w:val="TableParagraph"/>
              <w:rPr>
                <w:sz w:val="20"/>
              </w:rPr>
            </w:pPr>
            <w:r>
              <w:rPr>
                <w:color w:val="000009"/>
                <w:sz w:val="20"/>
              </w:rPr>
              <w:t>-10.12%</w:t>
            </w:r>
          </w:p>
        </w:tc>
        <w:tc>
          <w:tcPr>
            <w:tcW w:w="1630" w:type="dxa"/>
          </w:tcPr>
          <w:p>
            <w:pPr>
              <w:pStyle w:val="TableParagraph"/>
              <w:rPr>
                <w:sz w:val="20"/>
              </w:rPr>
            </w:pPr>
            <w:r>
              <w:rPr>
                <w:color w:val="000009"/>
                <w:sz w:val="20"/>
              </w:rPr>
              <w:t>-5.70%</w:t>
            </w:r>
          </w:p>
        </w:tc>
        <w:tc>
          <w:tcPr>
            <w:tcW w:w="1388" w:type="dxa"/>
          </w:tcPr>
          <w:p>
            <w:pPr>
              <w:pStyle w:val="TableParagraph"/>
              <w:rPr>
                <w:sz w:val="20"/>
              </w:rPr>
            </w:pPr>
            <w:r>
              <w:rPr>
                <w:color w:val="000009"/>
                <w:sz w:val="20"/>
              </w:rPr>
              <w:t>-5.84%</w:t>
            </w:r>
          </w:p>
        </w:tc>
      </w:tr>
      <w:tr>
        <w:trPr>
          <w:trHeight w:val="340" w:hRule="atLeast"/>
        </w:trPr>
        <w:tc>
          <w:tcPr>
            <w:tcW w:w="914" w:type="dxa"/>
          </w:tcPr>
          <w:p>
            <w:pPr>
              <w:pStyle w:val="TableParagraph"/>
              <w:ind w:left="57" w:right="0"/>
              <w:jc w:val="left"/>
              <w:rPr>
                <w:sz w:val="20"/>
              </w:rPr>
            </w:pPr>
            <w:r>
              <w:rPr>
                <w:color w:val="000009"/>
                <w:sz w:val="20"/>
              </w:rPr>
              <w:t>WMT</w:t>
            </w:r>
          </w:p>
        </w:tc>
        <w:tc>
          <w:tcPr>
            <w:tcW w:w="1242" w:type="dxa"/>
          </w:tcPr>
          <w:p>
            <w:pPr>
              <w:pStyle w:val="TableParagraph"/>
              <w:rPr>
                <w:sz w:val="20"/>
              </w:rPr>
            </w:pPr>
            <w:r>
              <w:rPr>
                <w:color w:val="000009"/>
                <w:sz w:val="20"/>
              </w:rPr>
              <w:t>17.78%</w:t>
            </w:r>
          </w:p>
        </w:tc>
        <w:tc>
          <w:tcPr>
            <w:tcW w:w="1538" w:type="dxa"/>
          </w:tcPr>
          <w:p>
            <w:pPr>
              <w:pStyle w:val="TableParagraph"/>
              <w:rPr>
                <w:sz w:val="20"/>
              </w:rPr>
            </w:pPr>
            <w:r>
              <w:rPr>
                <w:color w:val="000009"/>
                <w:sz w:val="20"/>
              </w:rPr>
              <w:t>31.26%</w:t>
            </w:r>
          </w:p>
        </w:tc>
        <w:tc>
          <w:tcPr>
            <w:tcW w:w="1520" w:type="dxa"/>
          </w:tcPr>
          <w:p>
            <w:pPr>
              <w:pStyle w:val="TableParagraph"/>
              <w:ind w:right="41"/>
              <w:rPr>
                <w:sz w:val="20"/>
              </w:rPr>
            </w:pPr>
            <w:r>
              <w:rPr>
                <w:color w:val="000009"/>
                <w:sz w:val="20"/>
              </w:rPr>
              <w:t>44.19%</w:t>
            </w:r>
          </w:p>
        </w:tc>
        <w:tc>
          <w:tcPr>
            <w:tcW w:w="1630" w:type="dxa"/>
          </w:tcPr>
          <w:p>
            <w:pPr>
              <w:pStyle w:val="TableParagraph"/>
              <w:rPr>
                <w:sz w:val="20"/>
              </w:rPr>
            </w:pPr>
            <w:r>
              <w:rPr>
                <w:color w:val="000009"/>
                <w:sz w:val="20"/>
              </w:rPr>
              <w:t>2.21%</w:t>
            </w:r>
          </w:p>
        </w:tc>
        <w:tc>
          <w:tcPr>
            <w:tcW w:w="1388" w:type="dxa"/>
          </w:tcPr>
          <w:p>
            <w:pPr>
              <w:pStyle w:val="TableParagraph"/>
              <w:ind w:right="41"/>
              <w:rPr>
                <w:sz w:val="20"/>
              </w:rPr>
            </w:pPr>
            <w:r>
              <w:rPr>
                <w:color w:val="000009"/>
                <w:sz w:val="20"/>
              </w:rPr>
              <w:t>4.53%</w:t>
            </w:r>
          </w:p>
        </w:tc>
      </w:tr>
      <w:tr>
        <w:trPr>
          <w:trHeight w:val="341" w:hRule="atLeast"/>
        </w:trPr>
        <w:tc>
          <w:tcPr>
            <w:tcW w:w="914" w:type="dxa"/>
          </w:tcPr>
          <w:p>
            <w:pPr>
              <w:pStyle w:val="TableParagraph"/>
              <w:ind w:left="57" w:right="0"/>
              <w:jc w:val="left"/>
              <w:rPr>
                <w:sz w:val="20"/>
              </w:rPr>
            </w:pPr>
            <w:r>
              <w:rPr>
                <w:color w:val="000009"/>
                <w:sz w:val="20"/>
              </w:rPr>
              <w:t>XOM</w:t>
            </w:r>
          </w:p>
        </w:tc>
        <w:tc>
          <w:tcPr>
            <w:tcW w:w="1242" w:type="dxa"/>
          </w:tcPr>
          <w:p>
            <w:pPr>
              <w:pStyle w:val="TableParagraph"/>
              <w:rPr>
                <w:sz w:val="20"/>
              </w:rPr>
            </w:pPr>
            <w:r>
              <w:rPr>
                <w:color w:val="000009"/>
                <w:sz w:val="20"/>
              </w:rPr>
              <w:t>12.24%</w:t>
            </w:r>
          </w:p>
        </w:tc>
        <w:tc>
          <w:tcPr>
            <w:tcW w:w="1538" w:type="dxa"/>
          </w:tcPr>
          <w:p>
            <w:pPr>
              <w:pStyle w:val="TableParagraph"/>
              <w:rPr>
                <w:sz w:val="20"/>
              </w:rPr>
            </w:pPr>
            <w:r>
              <w:rPr>
                <w:color w:val="000009"/>
                <w:sz w:val="20"/>
              </w:rPr>
              <w:t>0.85%</w:t>
            </w:r>
          </w:p>
        </w:tc>
        <w:tc>
          <w:tcPr>
            <w:tcW w:w="1520" w:type="dxa"/>
          </w:tcPr>
          <w:p>
            <w:pPr>
              <w:pStyle w:val="TableParagraph"/>
              <w:ind w:right="41"/>
              <w:rPr>
                <w:sz w:val="20"/>
              </w:rPr>
            </w:pPr>
            <w:r>
              <w:rPr>
                <w:color w:val="000009"/>
                <w:sz w:val="20"/>
              </w:rPr>
              <w:t>14.79%</w:t>
            </w:r>
          </w:p>
        </w:tc>
        <w:tc>
          <w:tcPr>
            <w:tcW w:w="1630" w:type="dxa"/>
          </w:tcPr>
          <w:p>
            <w:pPr>
              <w:pStyle w:val="TableParagraph"/>
              <w:rPr>
                <w:sz w:val="20"/>
              </w:rPr>
            </w:pPr>
            <w:r>
              <w:rPr>
                <w:color w:val="000009"/>
                <w:sz w:val="20"/>
              </w:rPr>
              <w:t>-6.15%</w:t>
            </w:r>
          </w:p>
        </w:tc>
        <w:tc>
          <w:tcPr>
            <w:tcW w:w="1388" w:type="dxa"/>
          </w:tcPr>
          <w:p>
            <w:pPr>
              <w:pStyle w:val="TableParagraph"/>
              <w:ind w:right="41"/>
              <w:rPr>
                <w:sz w:val="20"/>
              </w:rPr>
            </w:pPr>
            <w:r>
              <w:rPr>
                <w:color w:val="000009"/>
                <w:sz w:val="20"/>
              </w:rPr>
              <w:t>1.20%</w:t>
            </w:r>
          </w:p>
        </w:tc>
      </w:tr>
      <w:tr>
        <w:trPr>
          <w:trHeight w:val="340" w:hRule="atLeast"/>
        </w:trPr>
        <w:tc>
          <w:tcPr>
            <w:tcW w:w="914" w:type="dxa"/>
          </w:tcPr>
          <w:p>
            <w:pPr>
              <w:pStyle w:val="TableParagraph"/>
              <w:ind w:left="57" w:right="0"/>
              <w:jc w:val="left"/>
              <w:rPr>
                <w:b/>
                <w:sz w:val="20"/>
              </w:rPr>
            </w:pPr>
            <w:r>
              <w:rPr>
                <w:b/>
                <w:color w:val="000009"/>
                <w:sz w:val="20"/>
              </w:rPr>
              <w:t>Ort.</w:t>
            </w:r>
          </w:p>
        </w:tc>
        <w:tc>
          <w:tcPr>
            <w:tcW w:w="1242" w:type="dxa"/>
          </w:tcPr>
          <w:p>
            <w:pPr>
              <w:pStyle w:val="TableParagraph"/>
              <w:rPr>
                <w:sz w:val="20"/>
              </w:rPr>
            </w:pPr>
            <w:r>
              <w:rPr>
                <w:color w:val="000009"/>
                <w:sz w:val="20"/>
              </w:rPr>
              <w:t>8.60%</w:t>
            </w:r>
          </w:p>
        </w:tc>
        <w:tc>
          <w:tcPr>
            <w:tcW w:w="1538" w:type="dxa"/>
          </w:tcPr>
          <w:p>
            <w:pPr>
              <w:pStyle w:val="TableParagraph"/>
              <w:rPr>
                <w:sz w:val="20"/>
              </w:rPr>
            </w:pPr>
            <w:r>
              <w:rPr>
                <w:color w:val="000009"/>
                <w:sz w:val="20"/>
              </w:rPr>
              <w:t>3.35%</w:t>
            </w:r>
          </w:p>
        </w:tc>
        <w:tc>
          <w:tcPr>
            <w:tcW w:w="1520" w:type="dxa"/>
          </w:tcPr>
          <w:p>
            <w:pPr>
              <w:pStyle w:val="TableParagraph"/>
              <w:ind w:right="43"/>
              <w:rPr>
                <w:b/>
                <w:sz w:val="20"/>
              </w:rPr>
            </w:pPr>
            <w:r>
              <w:rPr>
                <w:b/>
                <w:color w:val="000009"/>
                <w:sz w:val="20"/>
              </w:rPr>
              <w:t>11.14%</w:t>
            </w:r>
          </w:p>
        </w:tc>
        <w:tc>
          <w:tcPr>
            <w:tcW w:w="1630" w:type="dxa"/>
          </w:tcPr>
          <w:p>
            <w:pPr>
              <w:pStyle w:val="TableParagraph"/>
              <w:rPr>
                <w:sz w:val="20"/>
              </w:rPr>
            </w:pPr>
            <w:r>
              <w:rPr>
                <w:color w:val="000009"/>
                <w:sz w:val="20"/>
              </w:rPr>
              <w:t>-4.12%</w:t>
            </w:r>
          </w:p>
        </w:tc>
        <w:tc>
          <w:tcPr>
            <w:tcW w:w="1388" w:type="dxa"/>
          </w:tcPr>
          <w:p>
            <w:pPr>
              <w:pStyle w:val="TableParagraph"/>
              <w:rPr>
                <w:sz w:val="20"/>
              </w:rPr>
            </w:pPr>
            <w:r>
              <w:rPr>
                <w:color w:val="000009"/>
                <w:sz w:val="20"/>
              </w:rPr>
              <w:t>-2.17%</w:t>
            </w:r>
          </w:p>
        </w:tc>
      </w:tr>
    </w:tbl>
    <w:p>
      <w:pPr>
        <w:spacing w:before="124"/>
        <w:ind w:left="590" w:right="1620" w:firstLine="0"/>
        <w:jc w:val="left"/>
        <w:rPr>
          <w:i/>
          <w:sz w:val="24"/>
        </w:rPr>
      </w:pPr>
      <w:r>
        <w:rPr>
          <w:i/>
          <w:color w:val="000009"/>
          <w:sz w:val="24"/>
        </w:rPr>
        <w:t>Tablo 7: CNN-FA Yöntemine Opsiyon Satma Stratejisi Eklendiğinde Dow Jones 30 </w:t>
      </w:r>
      <w:r>
        <w:rPr>
          <w:i/>
          <w:color w:val="000009"/>
          <w:sz w:val="24"/>
        </w:rPr>
        <w:t>Endeksinde Bulunan Hisse Senetlerinin Yıllık Ortalama Kârları</w:t>
      </w:r>
    </w:p>
    <w:p>
      <w:pPr>
        <w:pStyle w:val="BodyText"/>
        <w:spacing w:before="10"/>
        <w:rPr>
          <w:i/>
          <w:sz w:val="20"/>
        </w:rPr>
      </w:pPr>
    </w:p>
    <w:p>
      <w:pPr>
        <w:pStyle w:val="BodyText"/>
        <w:ind w:left="590"/>
      </w:pPr>
      <w:r>
        <w:rPr>
          <w:color w:val="000009"/>
        </w:rPr>
        <w:t>6 numaralı tabloda geliştirilen bu strateji kârı azaltsa da 7 numaralı tabloda kârın</w:t>
      </w:r>
    </w:p>
    <w:p>
      <w:pPr>
        <w:pStyle w:val="BodyText"/>
        <w:spacing w:line="360" w:lineRule="auto" w:before="138"/>
        <w:ind w:left="590" w:right="1417"/>
        <w:jc w:val="both"/>
      </w:pPr>
      <w:r>
        <w:rPr>
          <w:color w:val="000009"/>
        </w:rPr>
        <w:t>%8.6’dan %11.14’e çıktığı görülmektedir. Ayrıca önceki çalışmaların aksine kâr durdurmanın opsiyon stratejilerinde olumsuz etki yaptığı görülmekte, zarar durdurmanın ise aynı şekilde başarımı arttırdığı gözlemlenmektedir.</w:t>
      </w:r>
    </w:p>
    <w:p>
      <w:pPr>
        <w:spacing w:after="0" w:line="360" w:lineRule="auto"/>
        <w:jc w:val="both"/>
        <w:sectPr>
          <w:pgSz w:w="11910" w:h="16840"/>
          <w:pgMar w:header="0" w:footer="1050" w:top="1400" w:bottom="1240" w:left="1680" w:right="0"/>
        </w:sectPr>
      </w:pPr>
    </w:p>
    <w:p>
      <w:pPr>
        <w:pStyle w:val="Heading2"/>
        <w:numPr>
          <w:ilvl w:val="1"/>
          <w:numId w:val="1"/>
        </w:numPr>
        <w:tabs>
          <w:tab w:pos="950" w:val="left" w:leader="none"/>
        </w:tabs>
        <w:spacing w:line="240" w:lineRule="auto" w:before="184" w:after="0"/>
        <w:ind w:left="950" w:right="0" w:hanging="360"/>
        <w:jc w:val="both"/>
      </w:pPr>
      <w:r>
        <w:rPr>
          <w:color w:val="000009"/>
        </w:rPr>
        <w:t>Gelecek</w:t>
      </w:r>
      <w:r>
        <w:rPr>
          <w:color w:val="000009"/>
          <w:spacing w:val="1"/>
        </w:rPr>
        <w:t> </w:t>
      </w:r>
      <w:r>
        <w:rPr>
          <w:color w:val="000009"/>
        </w:rPr>
        <w:t>Çalışmalar</w:t>
      </w:r>
    </w:p>
    <w:p>
      <w:pPr>
        <w:pStyle w:val="BodyText"/>
        <w:rPr>
          <w:b/>
          <w:sz w:val="26"/>
        </w:rPr>
      </w:pPr>
    </w:p>
    <w:p>
      <w:pPr>
        <w:pStyle w:val="BodyText"/>
        <w:spacing w:line="360" w:lineRule="auto" w:before="199"/>
        <w:ind w:left="590" w:right="1420"/>
        <w:jc w:val="both"/>
      </w:pPr>
      <w:r>
        <w:rPr>
          <w:color w:val="000009"/>
        </w:rPr>
        <w:t>Ömer Berat SEZER tarafından yapılan çalışma tekrarlandığında aynı sonuçlar elde edilememiş, kâr oranları daha düşük çıkmıştır. İlk olarak bu problem üzerinde çalışılacaktır.</w:t>
      </w:r>
    </w:p>
    <w:p>
      <w:pPr>
        <w:pStyle w:val="BodyText"/>
        <w:spacing w:before="10"/>
        <w:rPr>
          <w:sz w:val="20"/>
        </w:rPr>
      </w:pPr>
    </w:p>
    <w:p>
      <w:pPr>
        <w:pStyle w:val="BodyText"/>
        <w:spacing w:line="360" w:lineRule="auto"/>
        <w:ind w:left="590" w:right="1416"/>
        <w:jc w:val="both"/>
      </w:pPr>
      <w:r>
        <w:rPr>
          <w:color w:val="000009"/>
        </w:rPr>
        <w:t>Opsiyon alım-satımında kullanılan parametreler (kaç günlük olduğu, fiyatının ne olduğu) sabit verilmiş, eniyilenmemiştir. Bu parametrelerin çeşitli eniyileme algoritmalarıyla[2][3][4][5] iyileştirilerek başarımın arttırılması hedeflenecektir.</w:t>
      </w:r>
    </w:p>
    <w:p>
      <w:pPr>
        <w:pStyle w:val="BodyText"/>
        <w:spacing w:before="10"/>
        <w:rPr>
          <w:sz w:val="20"/>
        </w:rPr>
      </w:pPr>
    </w:p>
    <w:p>
      <w:pPr>
        <w:pStyle w:val="BodyText"/>
        <w:spacing w:line="360" w:lineRule="auto"/>
        <w:ind w:left="590" w:right="1420"/>
        <w:jc w:val="both"/>
      </w:pPr>
      <w:r>
        <w:rPr>
          <w:color w:val="000009"/>
        </w:rPr>
        <w:t>Bu çalışmada 2 strateji (tek opsiyon alma, tek opsiyon satma) kullanılmıştır. Farklı stratejiler (spread stratejileri, varlığın kendisinin de eklenmesi vb.) denenerek başarıma etkisi incelenecektir.</w:t>
      </w:r>
    </w:p>
    <w:p>
      <w:pPr>
        <w:spacing w:after="0" w:line="360" w:lineRule="auto"/>
        <w:jc w:val="both"/>
        <w:sectPr>
          <w:pgSz w:w="11910" w:h="16840"/>
          <w:pgMar w:header="0" w:footer="1050" w:top="1580" w:bottom="1240" w:left="16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pStyle w:val="Heading2"/>
        <w:spacing w:before="90"/>
        <w:ind w:left="590" w:firstLine="0"/>
        <w:jc w:val="both"/>
      </w:pPr>
      <w:r>
        <w:rPr>
          <w:color w:val="000009"/>
        </w:rPr>
        <w:t>KAYNAKLAR</w:t>
      </w:r>
    </w:p>
    <w:p>
      <w:pPr>
        <w:pStyle w:val="BodyText"/>
        <w:rPr>
          <w:b/>
          <w:sz w:val="26"/>
        </w:rPr>
      </w:pPr>
    </w:p>
    <w:p>
      <w:pPr>
        <w:pStyle w:val="ListParagraph"/>
        <w:numPr>
          <w:ilvl w:val="0"/>
          <w:numId w:val="2"/>
        </w:numPr>
        <w:tabs>
          <w:tab w:pos="952" w:val="left" w:leader="none"/>
        </w:tabs>
        <w:spacing w:line="360" w:lineRule="auto" w:before="181" w:after="0"/>
        <w:ind w:left="590" w:right="1417" w:firstLine="0"/>
        <w:jc w:val="both"/>
        <w:rPr>
          <w:sz w:val="24"/>
        </w:rPr>
      </w:pPr>
      <w:r>
        <w:rPr>
          <w:color w:val="000009"/>
          <w:sz w:val="24"/>
        </w:rPr>
        <w:t>Sezer Ö.B., 2018, </w:t>
      </w:r>
      <w:r>
        <w:rPr>
          <w:color w:val="101010"/>
          <w:sz w:val="24"/>
        </w:rPr>
        <w:t>Zaman Serisi </w:t>
      </w:r>
      <w:r>
        <w:rPr>
          <w:color w:val="101010"/>
          <w:spacing w:val="-3"/>
          <w:sz w:val="24"/>
        </w:rPr>
        <w:t>Verilerinin </w:t>
      </w:r>
      <w:r>
        <w:rPr>
          <w:color w:val="101010"/>
          <w:sz w:val="24"/>
        </w:rPr>
        <w:t>Derin </w:t>
      </w:r>
      <w:r>
        <w:rPr>
          <w:color w:val="101010"/>
          <w:spacing w:val="-6"/>
          <w:sz w:val="24"/>
        </w:rPr>
        <w:t>Yapay </w:t>
      </w:r>
      <w:r>
        <w:rPr>
          <w:color w:val="101010"/>
          <w:sz w:val="24"/>
        </w:rPr>
        <w:t>Sinir Ağları ile Analizi ve Eniyilemesi: Finansal </w:t>
      </w:r>
      <w:r>
        <w:rPr>
          <w:color w:val="101010"/>
          <w:spacing w:val="-3"/>
          <w:sz w:val="24"/>
        </w:rPr>
        <w:t>Tahmin </w:t>
      </w:r>
      <w:r>
        <w:rPr>
          <w:color w:val="101010"/>
          <w:sz w:val="24"/>
        </w:rPr>
        <w:t>Algoritmaları</w:t>
      </w:r>
      <w:r>
        <w:rPr>
          <w:color w:val="000009"/>
          <w:sz w:val="24"/>
        </w:rPr>
        <w:t>, Doktora </w:t>
      </w:r>
      <w:r>
        <w:rPr>
          <w:color w:val="000009"/>
          <w:spacing w:val="-4"/>
          <w:sz w:val="24"/>
        </w:rPr>
        <w:t>Tezi, </w:t>
      </w:r>
      <w:r>
        <w:rPr>
          <w:color w:val="000009"/>
          <w:sz w:val="24"/>
        </w:rPr>
        <w:t>TOBB Ekonomi ve </w:t>
      </w:r>
      <w:r>
        <w:rPr>
          <w:color w:val="000009"/>
          <w:spacing w:val="-3"/>
          <w:sz w:val="24"/>
        </w:rPr>
        <w:t>Teknoloji </w:t>
      </w:r>
      <w:r>
        <w:rPr>
          <w:color w:val="000009"/>
          <w:sz w:val="24"/>
        </w:rPr>
        <w:t>Üniversitesi, Fen Bilimleri Enstitüsü,</w:t>
      </w:r>
      <w:r>
        <w:rPr>
          <w:color w:val="000009"/>
          <w:spacing w:val="-10"/>
          <w:sz w:val="24"/>
        </w:rPr>
        <w:t> </w:t>
      </w:r>
      <w:r>
        <w:rPr>
          <w:color w:val="000009"/>
          <w:sz w:val="24"/>
        </w:rPr>
        <w:t>Ankara.</w:t>
      </w:r>
    </w:p>
    <w:p>
      <w:pPr>
        <w:pStyle w:val="BodyText"/>
        <w:spacing w:before="10"/>
        <w:rPr>
          <w:sz w:val="20"/>
        </w:rPr>
      </w:pPr>
    </w:p>
    <w:p>
      <w:pPr>
        <w:pStyle w:val="ListParagraph"/>
        <w:numPr>
          <w:ilvl w:val="0"/>
          <w:numId w:val="2"/>
        </w:numPr>
        <w:tabs>
          <w:tab w:pos="871" w:val="left" w:leader="none"/>
        </w:tabs>
        <w:spacing w:line="360" w:lineRule="auto" w:before="0" w:after="0"/>
        <w:ind w:left="590" w:right="1424" w:firstLine="0"/>
        <w:jc w:val="both"/>
        <w:rPr>
          <w:sz w:val="24"/>
        </w:rPr>
      </w:pPr>
      <w:r>
        <w:rPr>
          <w:color w:val="000009"/>
          <w:sz w:val="24"/>
        </w:rPr>
        <w:t>Goldberg, David Edward. "Genetic algorithms in search, optimization, and machine learning."</w:t>
      </w:r>
      <w:r>
        <w:rPr>
          <w:color w:val="000009"/>
          <w:spacing w:val="1"/>
          <w:sz w:val="24"/>
        </w:rPr>
        <w:t> </w:t>
      </w:r>
      <w:r>
        <w:rPr>
          <w:color w:val="000009"/>
          <w:sz w:val="24"/>
        </w:rPr>
        <w:t>(1989).</w:t>
      </w:r>
    </w:p>
    <w:p>
      <w:pPr>
        <w:pStyle w:val="BodyText"/>
        <w:spacing w:before="10"/>
        <w:rPr>
          <w:sz w:val="20"/>
        </w:rPr>
      </w:pPr>
    </w:p>
    <w:p>
      <w:pPr>
        <w:pStyle w:val="ListParagraph"/>
        <w:numPr>
          <w:ilvl w:val="0"/>
          <w:numId w:val="2"/>
        </w:numPr>
        <w:tabs>
          <w:tab w:pos="960" w:val="left" w:leader="none"/>
        </w:tabs>
        <w:spacing w:line="360" w:lineRule="auto" w:before="0" w:after="0"/>
        <w:ind w:left="590" w:right="1421" w:firstLine="0"/>
        <w:jc w:val="both"/>
        <w:rPr>
          <w:sz w:val="24"/>
        </w:rPr>
      </w:pPr>
      <w:r>
        <w:rPr>
          <w:color w:val="000009"/>
          <w:sz w:val="24"/>
        </w:rPr>
        <w:t>Eberhart, Russell, and James </w:t>
      </w:r>
      <w:r>
        <w:rPr>
          <w:color w:val="000009"/>
          <w:spacing w:val="-3"/>
          <w:sz w:val="24"/>
        </w:rPr>
        <w:t>Kennedy. </w:t>
      </w:r>
      <w:r>
        <w:rPr>
          <w:color w:val="000009"/>
          <w:sz w:val="24"/>
        </w:rPr>
        <w:t>"A new optimizer using particle swarm </w:t>
      </w:r>
      <w:r>
        <w:rPr>
          <w:color w:val="000009"/>
          <w:spacing w:val="-3"/>
          <w:sz w:val="24"/>
        </w:rPr>
        <w:t>theory." </w:t>
      </w:r>
      <w:r>
        <w:rPr>
          <w:i/>
          <w:color w:val="000009"/>
          <w:spacing w:val="-3"/>
          <w:sz w:val="24"/>
        </w:rPr>
        <w:t>Micro </w:t>
      </w:r>
      <w:r>
        <w:rPr>
          <w:i/>
          <w:color w:val="000009"/>
          <w:sz w:val="24"/>
        </w:rPr>
        <w:t>Machine and Human Science, 1995. MHS'95., Proceedings of the </w:t>
      </w:r>
      <w:r>
        <w:rPr>
          <w:i/>
          <w:color w:val="000009"/>
          <w:sz w:val="24"/>
        </w:rPr>
        <w:t>Sixth International Symposium on</w:t>
      </w:r>
      <w:r>
        <w:rPr>
          <w:color w:val="000009"/>
          <w:sz w:val="24"/>
        </w:rPr>
        <w:t>. IEEE,</w:t>
      </w:r>
      <w:r>
        <w:rPr>
          <w:color w:val="000009"/>
          <w:spacing w:val="-2"/>
          <w:sz w:val="24"/>
        </w:rPr>
        <w:t> </w:t>
      </w:r>
      <w:r>
        <w:rPr>
          <w:color w:val="000009"/>
          <w:sz w:val="24"/>
        </w:rPr>
        <w:t>1995.</w:t>
      </w:r>
    </w:p>
    <w:p>
      <w:pPr>
        <w:pStyle w:val="BodyText"/>
        <w:spacing w:before="10"/>
        <w:rPr>
          <w:sz w:val="20"/>
        </w:rPr>
      </w:pPr>
    </w:p>
    <w:p>
      <w:pPr>
        <w:pStyle w:val="ListParagraph"/>
        <w:numPr>
          <w:ilvl w:val="0"/>
          <w:numId w:val="2"/>
        </w:numPr>
        <w:tabs>
          <w:tab w:pos="934" w:val="left" w:leader="none"/>
        </w:tabs>
        <w:spacing w:line="360" w:lineRule="auto" w:before="0" w:after="0"/>
        <w:ind w:left="590" w:right="1436" w:firstLine="0"/>
        <w:jc w:val="both"/>
        <w:rPr>
          <w:sz w:val="24"/>
        </w:rPr>
      </w:pPr>
      <w:r>
        <w:rPr>
          <w:color w:val="000009"/>
          <w:spacing w:val="-5"/>
          <w:sz w:val="24"/>
        </w:rPr>
        <w:t>Tan, </w:t>
      </w:r>
      <w:r>
        <w:rPr>
          <w:color w:val="000009"/>
          <w:spacing w:val="-3"/>
          <w:sz w:val="24"/>
        </w:rPr>
        <w:t>Ying, </w:t>
      </w:r>
      <w:r>
        <w:rPr>
          <w:color w:val="000009"/>
          <w:sz w:val="24"/>
        </w:rPr>
        <w:t>and </w:t>
      </w:r>
      <w:r>
        <w:rPr>
          <w:color w:val="000009"/>
          <w:spacing w:val="-4"/>
          <w:sz w:val="24"/>
        </w:rPr>
        <w:t>Yuanchun </w:t>
      </w:r>
      <w:r>
        <w:rPr>
          <w:color w:val="000009"/>
          <w:sz w:val="24"/>
        </w:rPr>
        <w:t>Zhu. "Fireworks algorithm for optimization." </w:t>
      </w:r>
      <w:r>
        <w:rPr>
          <w:i/>
          <w:color w:val="000009"/>
          <w:sz w:val="24"/>
        </w:rPr>
        <w:t>Advances </w:t>
      </w:r>
      <w:r>
        <w:rPr>
          <w:i/>
          <w:color w:val="000009"/>
          <w:sz w:val="24"/>
        </w:rPr>
        <w:t>in swarm intelligence </w:t>
      </w:r>
      <w:r>
        <w:rPr>
          <w:color w:val="000009"/>
          <w:sz w:val="24"/>
        </w:rPr>
        <w:t>(2010):</w:t>
      </w:r>
      <w:r>
        <w:rPr>
          <w:color w:val="000009"/>
          <w:spacing w:val="1"/>
          <w:sz w:val="24"/>
        </w:rPr>
        <w:t> </w:t>
      </w:r>
      <w:r>
        <w:rPr>
          <w:color w:val="000009"/>
          <w:sz w:val="24"/>
        </w:rPr>
        <w:t>355-364.</w:t>
      </w:r>
    </w:p>
    <w:p>
      <w:pPr>
        <w:pStyle w:val="BodyText"/>
        <w:spacing w:before="10"/>
        <w:rPr>
          <w:sz w:val="20"/>
        </w:rPr>
      </w:pPr>
    </w:p>
    <w:p>
      <w:pPr>
        <w:pStyle w:val="ListParagraph"/>
        <w:numPr>
          <w:ilvl w:val="0"/>
          <w:numId w:val="2"/>
        </w:numPr>
        <w:tabs>
          <w:tab w:pos="968" w:val="left" w:leader="none"/>
        </w:tabs>
        <w:spacing w:line="360" w:lineRule="auto" w:before="0" w:after="0"/>
        <w:ind w:left="590" w:right="1415" w:firstLine="0"/>
        <w:jc w:val="both"/>
        <w:rPr>
          <w:sz w:val="24"/>
        </w:rPr>
      </w:pPr>
      <w:r>
        <w:rPr>
          <w:color w:val="000009"/>
          <w:spacing w:val="-5"/>
          <w:sz w:val="24"/>
        </w:rPr>
        <w:t>Yang, </w:t>
      </w:r>
      <w:r>
        <w:rPr>
          <w:color w:val="000009"/>
          <w:sz w:val="24"/>
        </w:rPr>
        <w:t>Xin-She, and Suash Deb. "Cuckoo search via Lévy flights." </w:t>
      </w:r>
      <w:r>
        <w:rPr>
          <w:i/>
          <w:color w:val="000009"/>
          <w:sz w:val="24"/>
        </w:rPr>
        <w:t>Nature &amp; </w:t>
      </w:r>
      <w:r>
        <w:rPr>
          <w:i/>
          <w:color w:val="000009"/>
          <w:sz w:val="24"/>
        </w:rPr>
        <w:t>Biologically Inspired Computing, 2009. NaBIC 2009. </w:t>
      </w:r>
      <w:r>
        <w:rPr>
          <w:i/>
          <w:color w:val="000009"/>
          <w:spacing w:val="-5"/>
          <w:sz w:val="24"/>
        </w:rPr>
        <w:t>World </w:t>
      </w:r>
      <w:r>
        <w:rPr>
          <w:i/>
          <w:color w:val="000009"/>
          <w:sz w:val="24"/>
        </w:rPr>
        <w:t>Congress </w:t>
      </w:r>
      <w:r>
        <w:rPr>
          <w:i/>
          <w:color w:val="000009"/>
          <w:spacing w:val="3"/>
          <w:sz w:val="24"/>
        </w:rPr>
        <w:t>on</w:t>
      </w:r>
      <w:r>
        <w:rPr>
          <w:color w:val="000009"/>
          <w:spacing w:val="3"/>
          <w:sz w:val="24"/>
        </w:rPr>
        <w:t>. </w:t>
      </w:r>
      <w:r>
        <w:rPr>
          <w:color w:val="000009"/>
          <w:sz w:val="24"/>
        </w:rPr>
        <w:t>IEEE, 2009.</w:t>
      </w:r>
    </w:p>
    <w:p>
      <w:pPr>
        <w:pStyle w:val="BodyText"/>
        <w:spacing w:before="10"/>
        <w:rPr>
          <w:sz w:val="20"/>
        </w:rPr>
      </w:pPr>
    </w:p>
    <w:p>
      <w:pPr>
        <w:pStyle w:val="ListParagraph"/>
        <w:numPr>
          <w:ilvl w:val="0"/>
          <w:numId w:val="2"/>
        </w:numPr>
        <w:tabs>
          <w:tab w:pos="946" w:val="left" w:leader="none"/>
        </w:tabs>
        <w:spacing w:line="360" w:lineRule="auto" w:before="1" w:after="0"/>
        <w:ind w:left="590" w:right="1418" w:firstLine="0"/>
        <w:jc w:val="both"/>
        <w:rPr>
          <w:sz w:val="24"/>
        </w:rPr>
      </w:pPr>
      <w:r>
        <w:rPr>
          <w:color w:val="000009"/>
          <w:spacing w:val="-3"/>
          <w:sz w:val="24"/>
        </w:rPr>
        <w:t>Sezer, </w:t>
      </w:r>
      <w:r>
        <w:rPr>
          <w:color w:val="000009"/>
          <w:sz w:val="24"/>
        </w:rPr>
        <w:t>Omer Berat, and Ahmet Murat Ozbayoglu. "Algorithmic financial trading with deep convolutional neural networks: </w:t>
      </w:r>
      <w:r>
        <w:rPr>
          <w:color w:val="000009"/>
          <w:spacing w:val="-3"/>
          <w:sz w:val="24"/>
        </w:rPr>
        <w:t>Time </w:t>
      </w:r>
      <w:r>
        <w:rPr>
          <w:color w:val="000009"/>
          <w:sz w:val="24"/>
        </w:rPr>
        <w:t>series to image conversion approach." </w:t>
      </w:r>
      <w:r>
        <w:rPr>
          <w:i/>
          <w:color w:val="000009"/>
          <w:sz w:val="24"/>
        </w:rPr>
        <w:t>Applied Soft Computing </w:t>
      </w:r>
      <w:r>
        <w:rPr>
          <w:color w:val="000009"/>
          <w:sz w:val="24"/>
        </w:rPr>
        <w:t>70 (2018):</w:t>
      </w:r>
      <w:r>
        <w:rPr>
          <w:color w:val="000009"/>
          <w:spacing w:val="-1"/>
          <w:sz w:val="24"/>
        </w:rPr>
        <w:t> </w:t>
      </w:r>
      <w:r>
        <w:rPr>
          <w:color w:val="000009"/>
          <w:sz w:val="24"/>
        </w:rPr>
        <w:t>525-538.</w:t>
      </w:r>
    </w:p>
    <w:p>
      <w:pPr>
        <w:pStyle w:val="BodyText"/>
        <w:spacing w:before="9"/>
        <w:rPr>
          <w:sz w:val="20"/>
        </w:rPr>
      </w:pPr>
    </w:p>
    <w:p>
      <w:pPr>
        <w:pStyle w:val="ListParagraph"/>
        <w:numPr>
          <w:ilvl w:val="0"/>
          <w:numId w:val="2"/>
        </w:numPr>
        <w:tabs>
          <w:tab w:pos="958" w:val="left" w:leader="none"/>
        </w:tabs>
        <w:spacing w:line="360" w:lineRule="auto" w:before="1" w:after="0"/>
        <w:ind w:left="590" w:right="1419" w:firstLine="0"/>
        <w:jc w:val="both"/>
        <w:rPr>
          <w:sz w:val="24"/>
        </w:rPr>
      </w:pPr>
      <w:r>
        <w:rPr>
          <w:color w:val="000009"/>
          <w:sz w:val="24"/>
        </w:rPr>
        <w:t>Tsantekidis, </w:t>
      </w:r>
      <w:r>
        <w:rPr>
          <w:color w:val="000009"/>
          <w:spacing w:val="-3"/>
          <w:sz w:val="24"/>
        </w:rPr>
        <w:t>Avraam, </w:t>
      </w:r>
      <w:r>
        <w:rPr>
          <w:color w:val="000009"/>
          <w:sz w:val="24"/>
        </w:rPr>
        <w:t>et al. "Forecasting stock prices from the limit order book using convolutional neural networks." </w:t>
      </w:r>
      <w:r>
        <w:rPr>
          <w:i/>
          <w:color w:val="000009"/>
          <w:sz w:val="24"/>
        </w:rPr>
        <w:t>2017 IEEE 19th Conference on Business </w:t>
      </w:r>
      <w:r>
        <w:rPr>
          <w:i/>
          <w:color w:val="000009"/>
          <w:sz w:val="24"/>
        </w:rPr>
        <w:t>Informatics (CBI)</w:t>
      </w:r>
      <w:r>
        <w:rPr>
          <w:color w:val="000009"/>
          <w:sz w:val="24"/>
        </w:rPr>
        <w:t>. </w:t>
      </w:r>
      <w:r>
        <w:rPr>
          <w:color w:val="000009"/>
          <w:spacing w:val="-9"/>
          <w:sz w:val="24"/>
        </w:rPr>
        <w:t>Vol. </w:t>
      </w:r>
      <w:r>
        <w:rPr>
          <w:color w:val="000009"/>
          <w:sz w:val="24"/>
        </w:rPr>
        <w:t>1. IEEE,</w:t>
      </w:r>
      <w:r>
        <w:rPr>
          <w:color w:val="000009"/>
          <w:spacing w:val="5"/>
          <w:sz w:val="24"/>
        </w:rPr>
        <w:t> </w:t>
      </w:r>
      <w:r>
        <w:rPr>
          <w:color w:val="000009"/>
          <w:sz w:val="24"/>
        </w:rPr>
        <w:t>2017.</w:t>
      </w:r>
    </w:p>
    <w:p>
      <w:pPr>
        <w:pStyle w:val="BodyText"/>
        <w:spacing w:before="10"/>
        <w:rPr>
          <w:sz w:val="20"/>
        </w:rPr>
      </w:pPr>
    </w:p>
    <w:p>
      <w:pPr>
        <w:pStyle w:val="ListParagraph"/>
        <w:numPr>
          <w:ilvl w:val="0"/>
          <w:numId w:val="2"/>
        </w:numPr>
        <w:tabs>
          <w:tab w:pos="1064" w:val="left" w:leader="none"/>
        </w:tabs>
        <w:spacing w:line="360" w:lineRule="auto" w:before="0" w:after="0"/>
        <w:ind w:left="590" w:right="1426" w:firstLine="0"/>
        <w:jc w:val="both"/>
        <w:rPr>
          <w:sz w:val="24"/>
        </w:rPr>
      </w:pPr>
      <w:r>
        <w:rPr>
          <w:color w:val="000009"/>
          <w:sz w:val="24"/>
        </w:rPr>
        <w:t>Chen, Jou-Fan, et al. "Financial time-series data analysis using deep convolutional neural networks." </w:t>
      </w:r>
      <w:r>
        <w:rPr>
          <w:i/>
          <w:color w:val="000009"/>
          <w:sz w:val="24"/>
        </w:rPr>
        <w:t>2016 7th International Conference on Cloud </w:t>
      </w:r>
      <w:r>
        <w:rPr>
          <w:i/>
          <w:color w:val="000009"/>
          <w:sz w:val="24"/>
        </w:rPr>
        <w:t>Computing and Big Data (CCBD)</w:t>
      </w:r>
      <w:r>
        <w:rPr>
          <w:color w:val="000009"/>
          <w:sz w:val="24"/>
        </w:rPr>
        <w:t>. IEEE, 2016.</w:t>
      </w:r>
    </w:p>
    <w:sectPr>
      <w:pgSz w:w="11910" w:h="16840"/>
      <w:pgMar w:header="0" w:footer="1050" w:top="1580" w:bottom="1240" w:left="16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 w:name="Liberation Sans">
    <w:altName w:val="Liberation Sans"/>
    <w:charset w:val="0"/>
    <w:family w:val="swiss"/>
    <w:pitch w:val="variable"/>
  </w:font>
  <w:font w:name="Arial Black">
    <w:altName w:val="Arial Black"/>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11.100006pt;margin-top:778.206604pt;width:16pt;height:15.3pt;mso-position-horizontal-relative:page;mso-position-vertical-relative:page;z-index:-82144" type="#_x0000_t202" filled="false" stroked="false">
          <v:textbox inset="0,0,0,0">
            <w:txbxContent>
              <w:p>
                <w:pPr>
                  <w:pStyle w:val="BodyText"/>
                  <w:spacing w:before="10"/>
                  <w:ind w:left="40"/>
                </w:pPr>
                <w:r>
                  <w:rPr/>
                  <w:fldChar w:fldCharType="begin"/>
                </w:r>
                <w:r>
                  <w:rPr>
                    <w:color w:val="000009"/>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90" w:hanging="362"/>
        <w:jc w:val="left"/>
      </w:pPr>
      <w:rPr>
        <w:rFonts w:hint="default" w:ascii="Liberation Serif" w:hAnsi="Liberation Serif" w:eastAsia="Liberation Serif" w:cs="Liberation Serif"/>
        <w:color w:val="000009"/>
        <w:w w:val="100"/>
        <w:sz w:val="24"/>
        <w:szCs w:val="24"/>
        <w:lang w:val="en-gb" w:eastAsia="en-gb" w:bidi="en-gb"/>
      </w:rPr>
    </w:lvl>
    <w:lvl w:ilvl="1">
      <w:start w:val="0"/>
      <w:numFmt w:val="bullet"/>
      <w:lvlText w:val="•"/>
      <w:lvlJc w:val="left"/>
      <w:pPr>
        <w:ind w:left="1562" w:hanging="362"/>
      </w:pPr>
      <w:rPr>
        <w:rFonts w:hint="default"/>
        <w:lang w:val="en-gb" w:eastAsia="en-gb" w:bidi="en-gb"/>
      </w:rPr>
    </w:lvl>
    <w:lvl w:ilvl="2">
      <w:start w:val="0"/>
      <w:numFmt w:val="bullet"/>
      <w:lvlText w:val="•"/>
      <w:lvlJc w:val="left"/>
      <w:pPr>
        <w:ind w:left="2525" w:hanging="362"/>
      </w:pPr>
      <w:rPr>
        <w:rFonts w:hint="default"/>
        <w:lang w:val="en-gb" w:eastAsia="en-gb" w:bidi="en-gb"/>
      </w:rPr>
    </w:lvl>
    <w:lvl w:ilvl="3">
      <w:start w:val="0"/>
      <w:numFmt w:val="bullet"/>
      <w:lvlText w:val="•"/>
      <w:lvlJc w:val="left"/>
      <w:pPr>
        <w:ind w:left="3488" w:hanging="362"/>
      </w:pPr>
      <w:rPr>
        <w:rFonts w:hint="default"/>
        <w:lang w:val="en-gb" w:eastAsia="en-gb" w:bidi="en-gb"/>
      </w:rPr>
    </w:lvl>
    <w:lvl w:ilvl="4">
      <w:start w:val="0"/>
      <w:numFmt w:val="bullet"/>
      <w:lvlText w:val="•"/>
      <w:lvlJc w:val="left"/>
      <w:pPr>
        <w:ind w:left="4451" w:hanging="362"/>
      </w:pPr>
      <w:rPr>
        <w:rFonts w:hint="default"/>
        <w:lang w:val="en-gb" w:eastAsia="en-gb" w:bidi="en-gb"/>
      </w:rPr>
    </w:lvl>
    <w:lvl w:ilvl="5">
      <w:start w:val="0"/>
      <w:numFmt w:val="bullet"/>
      <w:lvlText w:val="•"/>
      <w:lvlJc w:val="left"/>
      <w:pPr>
        <w:ind w:left="5414" w:hanging="362"/>
      </w:pPr>
      <w:rPr>
        <w:rFonts w:hint="default"/>
        <w:lang w:val="en-gb" w:eastAsia="en-gb" w:bidi="en-gb"/>
      </w:rPr>
    </w:lvl>
    <w:lvl w:ilvl="6">
      <w:start w:val="0"/>
      <w:numFmt w:val="bullet"/>
      <w:lvlText w:val="•"/>
      <w:lvlJc w:val="left"/>
      <w:pPr>
        <w:ind w:left="6377" w:hanging="362"/>
      </w:pPr>
      <w:rPr>
        <w:rFonts w:hint="default"/>
        <w:lang w:val="en-gb" w:eastAsia="en-gb" w:bidi="en-gb"/>
      </w:rPr>
    </w:lvl>
    <w:lvl w:ilvl="7">
      <w:start w:val="0"/>
      <w:numFmt w:val="bullet"/>
      <w:lvlText w:val="•"/>
      <w:lvlJc w:val="left"/>
      <w:pPr>
        <w:ind w:left="7340" w:hanging="362"/>
      </w:pPr>
      <w:rPr>
        <w:rFonts w:hint="default"/>
        <w:lang w:val="en-gb" w:eastAsia="en-gb" w:bidi="en-gb"/>
      </w:rPr>
    </w:lvl>
    <w:lvl w:ilvl="8">
      <w:start w:val="0"/>
      <w:numFmt w:val="bullet"/>
      <w:lvlText w:val="•"/>
      <w:lvlJc w:val="left"/>
      <w:pPr>
        <w:ind w:left="8303" w:hanging="362"/>
      </w:pPr>
      <w:rPr>
        <w:rFonts w:hint="default"/>
        <w:lang w:val="en-gb" w:eastAsia="en-gb" w:bidi="en-gb"/>
      </w:rPr>
    </w:lvl>
  </w:abstractNum>
  <w:abstractNum w:abstractNumId="0">
    <w:multiLevelType w:val="hybridMultilevel"/>
    <w:lvl w:ilvl="0">
      <w:start w:val="1"/>
      <w:numFmt w:val="decimal"/>
      <w:lvlText w:val="%1."/>
      <w:lvlJc w:val="left"/>
      <w:pPr>
        <w:ind w:left="590" w:hanging="300"/>
        <w:jc w:val="left"/>
      </w:pPr>
      <w:rPr>
        <w:rFonts w:hint="default" w:ascii="Liberation Serif" w:hAnsi="Liberation Serif" w:eastAsia="Liberation Serif" w:cs="Liberation Serif"/>
        <w:b/>
        <w:bCs/>
        <w:color w:val="000009"/>
        <w:spacing w:val="-2"/>
        <w:w w:val="100"/>
        <w:sz w:val="24"/>
        <w:szCs w:val="24"/>
        <w:lang w:val="en-gb" w:eastAsia="en-gb" w:bidi="en-gb"/>
      </w:rPr>
    </w:lvl>
    <w:lvl w:ilvl="1">
      <w:start w:val="1"/>
      <w:numFmt w:val="decimal"/>
      <w:lvlText w:val="%1.%2"/>
      <w:lvlJc w:val="left"/>
      <w:pPr>
        <w:ind w:left="950" w:hanging="360"/>
        <w:jc w:val="left"/>
      </w:pPr>
      <w:rPr>
        <w:rFonts w:hint="default" w:ascii="Liberation Serif" w:hAnsi="Liberation Serif" w:eastAsia="Liberation Serif" w:cs="Liberation Serif"/>
        <w:b/>
        <w:bCs/>
        <w:color w:val="000009"/>
        <w:spacing w:val="-1"/>
        <w:w w:val="100"/>
        <w:sz w:val="24"/>
        <w:szCs w:val="24"/>
        <w:lang w:val="en-gb" w:eastAsia="en-gb" w:bidi="en-gb"/>
      </w:rPr>
    </w:lvl>
    <w:lvl w:ilvl="2">
      <w:start w:val="1"/>
      <w:numFmt w:val="decimal"/>
      <w:lvlText w:val="%1.%2.%3"/>
      <w:lvlJc w:val="left"/>
      <w:pPr>
        <w:ind w:left="1698" w:hanging="540"/>
        <w:jc w:val="left"/>
      </w:pPr>
      <w:rPr>
        <w:rFonts w:hint="default" w:ascii="Liberation Serif" w:hAnsi="Liberation Serif" w:eastAsia="Liberation Serif" w:cs="Liberation Serif"/>
        <w:b/>
        <w:bCs/>
        <w:color w:val="000009"/>
        <w:spacing w:val="-2"/>
        <w:w w:val="100"/>
        <w:sz w:val="24"/>
        <w:szCs w:val="24"/>
        <w:lang w:val="en-gb" w:eastAsia="en-gb" w:bidi="en-gb"/>
      </w:rPr>
    </w:lvl>
    <w:lvl w:ilvl="3">
      <w:start w:val="0"/>
      <w:numFmt w:val="bullet"/>
      <w:lvlText w:val="•"/>
      <w:lvlJc w:val="left"/>
      <w:pPr>
        <w:ind w:left="2766" w:hanging="540"/>
      </w:pPr>
      <w:rPr>
        <w:rFonts w:hint="default"/>
        <w:lang w:val="en-gb" w:eastAsia="en-gb" w:bidi="en-gb"/>
      </w:rPr>
    </w:lvl>
    <w:lvl w:ilvl="4">
      <w:start w:val="0"/>
      <w:numFmt w:val="bullet"/>
      <w:lvlText w:val="•"/>
      <w:lvlJc w:val="left"/>
      <w:pPr>
        <w:ind w:left="3832" w:hanging="540"/>
      </w:pPr>
      <w:rPr>
        <w:rFonts w:hint="default"/>
        <w:lang w:val="en-gb" w:eastAsia="en-gb" w:bidi="en-gb"/>
      </w:rPr>
    </w:lvl>
    <w:lvl w:ilvl="5">
      <w:start w:val="0"/>
      <w:numFmt w:val="bullet"/>
      <w:lvlText w:val="•"/>
      <w:lvlJc w:val="left"/>
      <w:pPr>
        <w:ind w:left="4898" w:hanging="540"/>
      </w:pPr>
      <w:rPr>
        <w:rFonts w:hint="default"/>
        <w:lang w:val="en-gb" w:eastAsia="en-gb" w:bidi="en-gb"/>
      </w:rPr>
    </w:lvl>
    <w:lvl w:ilvl="6">
      <w:start w:val="0"/>
      <w:numFmt w:val="bullet"/>
      <w:lvlText w:val="•"/>
      <w:lvlJc w:val="left"/>
      <w:pPr>
        <w:ind w:left="5964" w:hanging="540"/>
      </w:pPr>
      <w:rPr>
        <w:rFonts w:hint="default"/>
        <w:lang w:val="en-gb" w:eastAsia="en-gb" w:bidi="en-gb"/>
      </w:rPr>
    </w:lvl>
    <w:lvl w:ilvl="7">
      <w:start w:val="0"/>
      <w:numFmt w:val="bullet"/>
      <w:lvlText w:val="•"/>
      <w:lvlJc w:val="left"/>
      <w:pPr>
        <w:ind w:left="7030" w:hanging="540"/>
      </w:pPr>
      <w:rPr>
        <w:rFonts w:hint="default"/>
        <w:lang w:val="en-gb" w:eastAsia="en-gb" w:bidi="en-gb"/>
      </w:rPr>
    </w:lvl>
    <w:lvl w:ilvl="8">
      <w:start w:val="0"/>
      <w:numFmt w:val="bullet"/>
      <w:lvlText w:val="•"/>
      <w:lvlJc w:val="left"/>
      <w:pPr>
        <w:ind w:left="8096" w:hanging="540"/>
      </w:pPr>
      <w:rPr>
        <w:rFonts w:hint="default"/>
        <w:lang w:val="en-gb" w:eastAsia="en-gb" w:bidi="en-gb"/>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gb" w:eastAsia="en-gb" w:bidi="en-gb"/>
    </w:rPr>
  </w:style>
  <w:style w:styleId="BodyText" w:type="paragraph">
    <w:name w:val="Body Text"/>
    <w:basedOn w:val="Normal"/>
    <w:uiPriority w:val="1"/>
    <w:qFormat/>
    <w:pPr/>
    <w:rPr>
      <w:rFonts w:ascii="Liberation Serif" w:hAnsi="Liberation Serif" w:eastAsia="Liberation Serif" w:cs="Liberation Serif"/>
      <w:sz w:val="24"/>
      <w:szCs w:val="24"/>
      <w:lang w:val="en-gb" w:eastAsia="en-gb" w:bidi="en-gb"/>
    </w:rPr>
  </w:style>
  <w:style w:styleId="Heading1" w:type="paragraph">
    <w:name w:val="Heading 1"/>
    <w:basedOn w:val="Normal"/>
    <w:uiPriority w:val="1"/>
    <w:qFormat/>
    <w:pPr>
      <w:ind w:right="38"/>
      <w:jc w:val="center"/>
      <w:outlineLvl w:val="1"/>
    </w:pPr>
    <w:rPr>
      <w:rFonts w:ascii="Liberation Sans" w:hAnsi="Liberation Sans" w:eastAsia="Liberation Sans" w:cs="Liberation Sans"/>
      <w:sz w:val="26"/>
      <w:szCs w:val="26"/>
      <w:lang w:val="en-gb" w:eastAsia="en-gb" w:bidi="en-gb"/>
    </w:rPr>
  </w:style>
  <w:style w:styleId="Heading2" w:type="paragraph">
    <w:name w:val="Heading 2"/>
    <w:basedOn w:val="Normal"/>
    <w:uiPriority w:val="1"/>
    <w:qFormat/>
    <w:pPr>
      <w:ind w:left="1698" w:hanging="540"/>
      <w:outlineLvl w:val="2"/>
    </w:pPr>
    <w:rPr>
      <w:rFonts w:ascii="Liberation Serif" w:hAnsi="Liberation Serif" w:eastAsia="Liberation Serif" w:cs="Liberation Serif"/>
      <w:b/>
      <w:bCs/>
      <w:sz w:val="24"/>
      <w:szCs w:val="24"/>
      <w:lang w:val="en-gb" w:eastAsia="en-gb" w:bidi="en-gb"/>
    </w:rPr>
  </w:style>
  <w:style w:styleId="ListParagraph" w:type="paragraph">
    <w:name w:val="List Paragraph"/>
    <w:basedOn w:val="Normal"/>
    <w:uiPriority w:val="1"/>
    <w:qFormat/>
    <w:pPr>
      <w:ind w:left="1698" w:hanging="540"/>
    </w:pPr>
    <w:rPr>
      <w:rFonts w:ascii="Liberation Serif" w:hAnsi="Liberation Serif" w:eastAsia="Liberation Serif" w:cs="Liberation Serif"/>
      <w:lang w:val="en-gb" w:eastAsia="en-gb" w:bidi="en-gb"/>
    </w:rPr>
  </w:style>
  <w:style w:styleId="TableParagraph" w:type="paragraph">
    <w:name w:val="Table Paragraph"/>
    <w:basedOn w:val="Normal"/>
    <w:uiPriority w:val="1"/>
    <w:qFormat/>
    <w:pPr>
      <w:spacing w:before="55"/>
      <w:ind w:right="39"/>
      <w:jc w:val="right"/>
    </w:pPr>
    <w:rPr>
      <w:rFonts w:ascii="Liberation Serif" w:hAnsi="Liberation Serif" w:eastAsia="Liberation Serif" w:cs="Liberation Serif"/>
      <w:lang w:val="en-gb" w:eastAsia="en-gb" w:bidi="en-g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phoenix</dc:creator>
  <dcterms:created xsi:type="dcterms:W3CDTF">2019-06-23T22:23:46Z</dcterms:created>
  <dcterms:modified xsi:type="dcterms:W3CDTF">2019-06-23T22:23:46Z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2019-06-17T00:00:00Z</vt:filetime>
  </property>
  <property fmtid="{D5CDD505-2E9C-101B-9397-08002B2CF9AE}" pid="3" name="Creator">
    <vt:lpwstr>Writer</vt:lpwstr>
  </property>
  <property fmtid="{D5CDD505-2E9C-101B-9397-08002B2CF9AE}" pid="4" name="LastSaved">
    <vt:filetime>2019-06-23T00:00:00Z</vt:filetime>
  </property>
</Properties>
</file>