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563EB"/>
          <w:sz w:val="18"/>
          <w:szCs w:val="18"/>
        </w:rPr>
        <w:t xml:space="preserve">DESIGN DOCUMENT</w:t>
      </w:r>
    </w:p>
    <w:p>
      <w:pPr>
        <w:pBdr>
          <w:bottom w:val="single" w:color="2563EB" w:sz="18" w:space="8"/>
        </w:pBdr>
        <w:spacing w:after="160"/>
      </w:pPr>
      <w:r>
        <w:rPr>
          <w:rFonts w:ascii="Arial" w:cs="Arial" w:eastAsia="Arial" w:hAnsi="Arial"/>
          <w:b/>
          <w:bCs/>
          <w:color w:val="0F172A"/>
          <w:sz w:val="48"/>
          <w:szCs w:val="48"/>
        </w:rPr>
        <w:t xml:space="preserve">Nginx on kubeadm</w:t>
      </w:r>
    </w:p>
    <w:p>
      <w:pPr>
        <w:spacing w:after="300"/>
      </w:pPr>
      <w:r>
        <w:rPr>
          <w:rFonts w:ascii="Arial" w:cs="Arial" w:eastAsia="Arial" w:hAnsi="Arial"/>
          <w:b/>
          <w:bCs/>
          <w:color w:val="1F2937"/>
          <w:sz w:val="22"/>
          <w:szCs w:val="22"/>
        </w:rPr>
        <w:t xml:space="preserve">Vincent Ugwueze</w:t>
      </w:r>
      <w:r>
        <w:rPr>
          <w:rFonts w:ascii="Arial" w:cs="Arial" w:eastAsia="Arial" w:hAnsi="Arial"/>
          <w:color w:val="64748B"/>
          <w:sz w:val="22"/>
          <w:szCs w:val="22"/>
        </w:rPr>
        <w:t xml:space="preserve">      June 2026</w:t>
      </w:r>
    </w:p>
    <w:p>
      <w:pPr>
        <w:pStyle w:val="Heading1"/>
      </w:pPr>
      <w:r>
        <w:rPr>
          <w:rFonts w:ascii="Arial" w:cs="Arial" w:eastAsia="Arial" w:hAnsi="Arial"/>
        </w:rPr>
        <w:t xml:space="preserve">1. Overview</w:t>
      </w:r>
    </w:p>
    <w:p>
      <w:pPr>
        <w:spacing w:after="140" w:line="276"/>
      </w:pPr>
      <w:r>
        <w:rPr>
          <w:rFonts w:ascii="Arial" w:cs="Arial" w:eastAsia="Arial" w:hAnsi="Arial"/>
          <w:color w:val="1F2937"/>
          <w:sz w:val="22"/>
          <w:szCs w:val="22"/>
        </w:rPr>
        <w:t xml:space="preserve">This project stands up a Kubernetes cluster with kubeadm and uses it to serve an Nginx site over TLS. A non-admin user gets API access through Kubernetes' built-in Certificate Signing Request (CSR) flow, bound to a least-privilege RBAC role, and cert-manager issues and renews the site's certificate on its own. I also wired in Argo CD so the same app is delivered and kept in sync through GitOps.</w:t>
      </w:r>
    </w:p>
    <w:p>
      <w:pPr>
        <w:spacing w:after="140" w:line="276"/>
      </w:pPr>
      <w:r>
        <w:rPr>
          <w:rFonts w:ascii="Arial" w:cs="Arial" w:eastAsia="Arial" w:hAnsi="Arial"/>
          <w:color w:val="1F2937"/>
          <w:sz w:val="22"/>
          <w:szCs w:val="22"/>
        </w:rPr>
        <w:t xml:space="preserve">Three goals shaped how I built it: keep every step scripted so it reproduces the same way each time, keep the moving parts simple enough to walk through in one demo, and give each user only the access their task needs.</w:t>
      </w:r>
    </w:p>
    <w:p>
      <w:pPr>
        <w:pStyle w:val="Heading2"/>
      </w:pPr>
      <w:r>
        <w:rPr>
          <w:rFonts w:ascii="Arial" w:cs="Arial" w:eastAsia="Arial" w:hAnsi="Arial"/>
        </w:rPr>
        <w:t xml:space="preserve">1.1 Requirements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BD5E1" w:sz="4"/>
              <w:left w:val="single" w:color="CBD5E1" w:sz="4"/>
              <w:bottom w:val="single" w:color="CBD5E1" w:sz="4"/>
              <w:right w:val="single" w:color="CBD5E1" w:sz="4"/>
            </w:tcBorders>
            <w:shd w:fill="DBEAFE" w:val="clear"/>
            <w:tcMar>
              <w:top w:type="dxa" w:w="70"/>
              <w:left w:type="dxa" w:w="130"/>
              <w:bottom w:type="dxa" w:w="70"/>
              <w:right w:type="dxa" w:w="130"/>
            </w:tcMar>
          </w:tcPr>
          <w:p>
            <w:r>
              <w:rPr>
                <w:rFonts w:ascii="Arial" w:cs="Arial" w:eastAsia="Arial" w:hAnsi="Arial"/>
                <w:b/>
                <w:bCs/>
                <w:color w:val="1E3A8A"/>
                <w:sz w:val="20"/>
                <w:szCs w:val="20"/>
              </w:rPr>
              <w:t xml:space="preserve">Requirement</w:t>
            </w:r>
          </w:p>
        </w:tc>
        <w:tc>
          <w:tcPr>
            <w:tcW w:type="dxa" w:w="6460"/>
            <w:tcBorders>
              <w:top w:val="single" w:color="CBD5E1" w:sz="4"/>
              <w:left w:val="single" w:color="CBD5E1" w:sz="4"/>
              <w:bottom w:val="single" w:color="CBD5E1" w:sz="4"/>
              <w:right w:val="single" w:color="CBD5E1" w:sz="4"/>
            </w:tcBorders>
            <w:shd w:fill="DBEAFE" w:val="clear"/>
            <w:tcMar>
              <w:top w:type="dxa" w:w="70"/>
              <w:left w:type="dxa" w:w="130"/>
              <w:bottom w:type="dxa" w:w="70"/>
              <w:right w:type="dxa" w:w="130"/>
            </w:tcMar>
          </w:tcPr>
          <w:p>
            <w:r>
              <w:rPr>
                <w:rFonts w:ascii="Arial" w:cs="Arial" w:eastAsia="Arial" w:hAnsi="Arial"/>
                <w:b/>
                <w:bCs/>
                <w:color w:val="1E3A8A"/>
                <w:sz w:val="20"/>
                <w:szCs w:val="20"/>
              </w:rPr>
              <w:t xml:space="preserve">How it is met</w:t>
            </w:r>
          </w:p>
        </w:tc>
      </w:tr>
      <w:tr>
        <w:trPr>
          <w:tblHeader w:val="false"/>
        </w:trPr>
        <w:tc>
          <w:tcPr>
            <w:tcW w:type="dxa" w:w="29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Cluster via kubeadm</w:t>
            </w:r>
          </w:p>
        </w:tc>
        <w:tc>
          <w:tcPr>
            <w:tcW w:type="dxa" w:w="646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Idempotent scripts in cluster/ install containerd and the kube components from pkgs.k8s.io, run kubeadm init, and install the Calico CNI.</w:t>
            </w:r>
          </w:p>
        </w:tc>
      </w:tr>
      <w:tr>
        <w:trPr>
          <w:tblHeader w:val="false"/>
        </w:trPr>
        <w:tc>
          <w:tcPr>
            <w:tcW w:type="dxa" w:w="29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Nginx deployed through user access</w:t>
            </w:r>
          </w:p>
        </w:tc>
        <w:tc>
          <w:tcPr>
            <w:tcW w:type="dxa" w:w="646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An onboarded, non-admin user applies the Nginx manifests with their own kubeconfig.</w:t>
            </w:r>
          </w:p>
        </w:tc>
      </w:tr>
      <w:tr>
        <w:trPr>
          <w:tblHeader w:val="false"/>
        </w:trPr>
        <w:tc>
          <w:tcPr>
            <w:tcW w:type="dxa" w:w="29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RBAC via Certificate Signing Requests</w:t>
            </w:r>
          </w:p>
        </w:tc>
        <w:tc>
          <w:tcPr>
            <w:tcW w:type="dxa" w:w="646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onboard-user.sh generates a key and CSR, submits a CertificateSigningRequest, approves it, and binds a namespace-scoped Role.</w:t>
            </w:r>
          </w:p>
        </w:tc>
      </w:tr>
      <w:tr>
        <w:trPr>
          <w:tblHeader w:val="false"/>
        </w:trPr>
        <w:tc>
          <w:tcPr>
            <w:tcW w:type="dxa" w:w="29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cert-manager for SSL</w:t>
            </w:r>
          </w:p>
        </w:tc>
        <w:tc>
          <w:tcPr>
            <w:tcW w:type="dxa" w:w="646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cert-manager issues the Nginx server certificate from an internal CA; the pod mounts it to serve HTTPS.</w:t>
            </w:r>
          </w:p>
        </w:tc>
      </w:tr>
      <w:tr>
        <w:trPr>
          <w:tblHeader w:val="false"/>
        </w:trPr>
        <w:tc>
          <w:tcPr>
            <w:tcW w:type="dxa" w:w="29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GitOps (advanced)</w:t>
            </w:r>
          </w:p>
        </w:tc>
        <w:tc>
          <w:tcPr>
            <w:tcW w:type="dxa" w:w="646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Argo CD continuously reconciles the nginx/ kustomize folder from Git.</w:t>
            </w:r>
          </w:p>
        </w:tc>
      </w:tr>
    </w:tbl>
    <w:p>
      <w:pPr>
        <w:spacing w:after="60"/>
      </w:pPr>
    </w:p>
    <w:p>
      <w:pPr>
        <w:pStyle w:val="Heading1"/>
      </w:pPr>
      <w:r>
        <w:rPr>
          <w:rFonts w:ascii="Arial" w:cs="Arial" w:eastAsia="Arial" w:hAnsi="Arial"/>
        </w:rPr>
        <w:t xml:space="preserve">2. Architecture</w:t>
      </w:r>
    </w:p>
    <w:p>
      <w:pPr>
        <w:spacing w:after="140" w:line="276"/>
      </w:pPr>
      <w:r>
        <w:rPr>
          <w:rFonts w:ascii="Arial" w:cs="Arial" w:eastAsia="Arial" w:hAnsi="Arial"/>
          <w:color w:val="1F2937"/>
          <w:sz w:val="22"/>
          <w:szCs w:val="22"/>
        </w:rPr>
        <w:t xml:space="preserve">I kept the cluster deliberately simple and portable so it runs the same way on local VMs or cloud servers. The control-plane node runs the API server, scheduler, controller-manager and etcd; two worker nodes run the application. Calico handles pod networking and leaves room for NetworkPolicy segmentation later.</w:t>
      </w:r>
    </w:p>
    <w:p>
      <w:pPr>
        <w:spacing w:after="80" w:line="276"/>
      </w:pPr>
      <w:r>
        <w:rPr>
          <w:rFonts w:ascii="Arial" w:cs="Arial" w:eastAsia="Arial" w:hAnsi="Arial"/>
          <w:color w:val="1F2937"/>
          <w:sz w:val="22"/>
          <w:szCs w:val="22"/>
        </w:rPr>
        <w:t xml:space="preserve">Runtime stack and request path:</w:t>
      </w:r>
    </w:p>
    <w:p>
      <w:pPr>
        <w:pStyle w:val="ListParagraph"/>
        <w:numPr>
          <w:ilvl w:val="0"/>
          <w:numId w:val="2"/>
        </w:numPr>
        <w:spacing w:after="60" w:line="268"/>
      </w:pPr>
      <w:r>
        <w:rPr>
          <w:rFonts w:ascii="Arial" w:cs="Arial" w:eastAsia="Arial" w:hAnsi="Arial"/>
          <w:color w:val="1F2937"/>
          <w:sz w:val="22"/>
          <w:szCs w:val="22"/>
        </w:rPr>
        <w:t xml:space="preserve">Container runtime: containerd with the systemd cgroup driver, matching the kubelet default.</w:t>
      </w:r>
    </w:p>
    <w:p>
      <w:pPr>
        <w:pStyle w:val="ListParagraph"/>
        <w:numPr>
          <w:ilvl w:val="0"/>
          <w:numId w:val="2"/>
        </w:numPr>
        <w:spacing w:after="60" w:line="268"/>
      </w:pPr>
      <w:r>
        <w:rPr>
          <w:rFonts w:ascii="Arial" w:cs="Arial" w:eastAsia="Arial" w:hAnsi="Arial"/>
          <w:color w:val="1F2937"/>
          <w:sz w:val="22"/>
          <w:szCs w:val="22"/>
        </w:rPr>
        <w:t xml:space="preserve">CNI: Calico (Tigera operator) on pod CIDR 192.168.0.0/16, using VXLAN encapsulation so pod traffic works on cloud networks such as Azure.</w:t>
      </w:r>
    </w:p>
    <w:p>
      <w:pPr>
        <w:pStyle w:val="ListParagraph"/>
        <w:numPr>
          <w:ilvl w:val="0"/>
          <w:numId w:val="2"/>
        </w:numPr>
        <w:spacing w:after="60" w:line="268"/>
      </w:pPr>
      <w:r>
        <w:rPr>
          <w:rFonts w:ascii="Arial" w:cs="Arial" w:eastAsia="Arial" w:hAnsi="Arial"/>
          <w:color w:val="1F2937"/>
          <w:sz w:val="22"/>
          <w:szCs w:val="22"/>
        </w:rPr>
        <w:t xml:space="preserve">Workload: two Nginx replicas on the unprivileged image, serving HTTPS on container port 8443.</w:t>
      </w:r>
    </w:p>
    <w:p>
      <w:pPr>
        <w:pStyle w:val="ListParagraph"/>
        <w:numPr>
          <w:ilvl w:val="0"/>
          <w:numId w:val="2"/>
        </w:numPr>
        <w:spacing w:after="60" w:line="268"/>
      </w:pPr>
      <w:r>
        <w:rPr>
          <w:rFonts w:ascii="Arial" w:cs="Arial" w:eastAsia="Arial" w:hAnsi="Arial"/>
          <w:color w:val="1F2937"/>
          <w:sz w:val="22"/>
          <w:szCs w:val="22"/>
        </w:rPr>
        <w:t xml:space="preserve">Exposure: a NodePort Service publishes the site at https://&lt;node-ip&gt;:30443, with no cloud load balancer or Ingress controller required.</w:t>
      </w:r>
    </w:p>
    <w:p>
      <w:pPr>
        <w:pStyle w:val="ListParagraph"/>
        <w:numPr>
          <w:ilvl w:val="0"/>
          <w:numId w:val="2"/>
        </w:numPr>
        <w:spacing w:after="60" w:line="268"/>
      </w:pPr>
      <w:r>
        <w:rPr>
          <w:rFonts w:ascii="Arial" w:cs="Arial" w:eastAsia="Arial" w:hAnsi="Arial"/>
          <w:color w:val="1F2937"/>
          <w:sz w:val="22"/>
          <w:szCs w:val="22"/>
        </w:rPr>
        <w:t xml:space="preserve">TLS: cert-manager issues the server certificate from an in-cluster CA and stores it in the nginx-tls Secret, which the pod mounts.</w:t>
      </w:r>
    </w:p>
    <w:p>
      <w:pPr>
        <w:spacing w:after="80" w:line="276"/>
      </w:pPr>
      <w:r>
        <w:rPr>
          <w:rFonts w:ascii="Arial" w:cs="Arial" w:eastAsia="Arial" w:hAnsi="Arial"/>
          <w:color w:val="1F2937"/>
          <w:sz w:val="22"/>
          <w:szCs w:val="22"/>
        </w:rPr>
        <w:t xml:space="preserve">Trust splits into two independent x509 systems:</w:t>
      </w:r>
    </w:p>
    <w:p>
      <w:pPr>
        <w:pStyle w:val="ListParagraph"/>
        <w:numPr>
          <w:ilvl w:val="0"/>
          <w:numId w:val="2"/>
        </w:numPr>
        <w:spacing w:after="60" w:line="268"/>
      </w:pPr>
      <w:r>
        <w:rPr>
          <w:rFonts w:ascii="Arial" w:cs="Arial" w:eastAsia="Arial" w:hAnsi="Arial"/>
          <w:color w:val="1F2937"/>
          <w:sz w:val="22"/>
          <w:szCs w:val="22"/>
        </w:rPr>
        <w:t xml:space="preserve">Client auth (who can reach the API): the Kubernetes CSR API signs short-lived client certificates that identify a user and their groups.</w:t>
      </w:r>
    </w:p>
    <w:p>
      <w:pPr>
        <w:pStyle w:val="ListParagraph"/>
        <w:numPr>
          <w:ilvl w:val="0"/>
          <w:numId w:val="2"/>
        </w:numPr>
        <w:spacing w:after="60" w:line="268"/>
      </w:pPr>
      <w:r>
        <w:rPr>
          <w:rFonts w:ascii="Arial" w:cs="Arial" w:eastAsia="Arial" w:hAnsi="Arial"/>
          <w:color w:val="1F2937"/>
          <w:sz w:val="22"/>
          <w:szCs w:val="22"/>
        </w:rPr>
        <w:t xml:space="preserve">Server auth (TLS for the site): cert-manager signs the certificate browsers validate when they load Nginx.</w:t>
      </w:r>
    </w:p>
    <w:p>
      <w:pPr>
        <w:pStyle w:val="Heading1"/>
      </w:pPr>
      <w:r>
        <w:rPr>
          <w:rFonts w:ascii="Arial" w:cs="Arial" w:eastAsia="Arial" w:hAnsi="Arial"/>
        </w:rPr>
        <w:t xml:space="preserve">3. Authentication and Authorization</w:t>
      </w:r>
    </w:p>
    <w:p>
      <w:pPr>
        <w:pStyle w:val="Heading2"/>
      </w:pPr>
      <w:r>
        <w:rPr>
          <w:rFonts w:ascii="Arial" w:cs="Arial" w:eastAsia="Arial" w:hAnsi="Arial"/>
        </w:rPr>
        <w:t xml:space="preserve">3.1 How a user gets access (the CSR flow)</w:t>
      </w:r>
    </w:p>
    <w:p>
      <w:pPr>
        <w:spacing w:after="140" w:line="276"/>
      </w:pPr>
      <w:r>
        <w:rPr>
          <w:rFonts w:ascii="Arial" w:cs="Arial" w:eastAsia="Arial" w:hAnsi="Arial"/>
          <w:color w:val="1F2937"/>
          <w:sz w:val="22"/>
          <w:szCs w:val="22"/>
        </w:rPr>
        <w:t xml:space="preserve">Kubernetes has no user object of its own; it trusts identities asserted by an authenticator. Here that authenticator is x509 client certificates signed by the cluster CA through the built-in CSR API. onboard-user.sh runs the whole flow:</w:t>
      </w:r>
    </w:p>
    <w:p>
      <w:pPr>
        <w:pStyle w:val="ListParagraph"/>
        <w:numPr>
          <w:ilvl w:val="0"/>
          <w:numId w:val="3"/>
        </w:numPr>
        <w:spacing w:after="60" w:line="268"/>
      </w:pPr>
      <w:r>
        <w:rPr>
          <w:rFonts w:ascii="Arial" w:cs="Arial" w:eastAsia="Arial" w:hAnsi="Arial"/>
          <w:color w:val="1F2937"/>
          <w:sz w:val="22"/>
          <w:szCs w:val="22"/>
        </w:rPr>
        <w:t xml:space="preserve">Generate a 2048-bit RSA key and a CSR locally, with CN set to the username and O set to the group.</w:t>
      </w:r>
    </w:p>
    <w:p>
      <w:pPr>
        <w:pStyle w:val="ListParagraph"/>
        <w:numPr>
          <w:ilvl w:val="0"/>
          <w:numId w:val="3"/>
        </w:numPr>
        <w:spacing w:after="60" w:line="268"/>
      </w:pPr>
      <w:r>
        <w:rPr>
          <w:rFonts w:ascii="Arial" w:cs="Arial" w:eastAsia="Arial" w:hAnsi="Arial"/>
          <w:color w:val="1F2937"/>
          <w:sz w:val="22"/>
          <w:szCs w:val="22"/>
        </w:rPr>
        <w:t xml:space="preserve">Submit a CertificateSigningRequest with signerName kubernetes.io/kube-apiserver-client and the client-auth usage.</w:t>
      </w:r>
    </w:p>
    <w:p>
      <w:pPr>
        <w:pStyle w:val="ListParagraph"/>
        <w:numPr>
          <w:ilvl w:val="0"/>
          <w:numId w:val="3"/>
        </w:numPr>
        <w:spacing w:after="60" w:line="268"/>
      </w:pPr>
      <w:r>
        <w:rPr>
          <w:rFonts w:ascii="Arial" w:cs="Arial" w:eastAsia="Arial" w:hAnsi="Arial"/>
          <w:color w:val="1F2937"/>
          <w:sz w:val="22"/>
          <w:szCs w:val="22"/>
        </w:rPr>
        <w:t xml:space="preserve">An administrator approves it; the cluster signer issues the certificate.</w:t>
      </w:r>
    </w:p>
    <w:p>
      <w:pPr>
        <w:pStyle w:val="ListParagraph"/>
        <w:numPr>
          <w:ilvl w:val="0"/>
          <w:numId w:val="3"/>
        </w:numPr>
        <w:spacing w:after="60" w:line="268"/>
      </w:pPr>
      <w:r>
        <w:rPr>
          <w:rFonts w:ascii="Arial" w:cs="Arial" w:eastAsia="Arial" w:hAnsi="Arial"/>
          <w:color w:val="1F2937"/>
          <w:sz w:val="22"/>
          <w:szCs w:val="22"/>
        </w:rPr>
        <w:t xml:space="preserve">Extract the signed certificate and assemble a kubeconfig (CA data, API endpoint, the user's certificate and key).</w:t>
      </w:r>
    </w:p>
    <w:p>
      <w:pPr>
        <w:pStyle w:val="ListParagraph"/>
        <w:numPr>
          <w:ilvl w:val="0"/>
          <w:numId w:val="3"/>
        </w:numPr>
        <w:spacing w:after="60" w:line="268"/>
      </w:pPr>
      <w:r>
        <w:rPr>
          <w:rFonts w:ascii="Arial" w:cs="Arial" w:eastAsia="Arial" w:hAnsi="Arial"/>
          <w:color w:val="1F2937"/>
          <w:sz w:val="22"/>
          <w:szCs w:val="22"/>
        </w:rPr>
        <w:t xml:space="preserve">Apply a namespace-scoped Role and a RoleBinding targeting the group, so the new identity gets exactly the access it needs and nothing more.</w:t>
      </w:r>
    </w:p>
    <w:p>
      <w:pPr>
        <w:spacing w:after="140" w:line="276"/>
      </w:pPr>
      <w:r>
        <w:rPr>
          <w:rFonts w:ascii="Arial" w:cs="Arial" w:eastAsia="Arial" w:hAnsi="Arial"/>
          <w:color w:val="1F2937"/>
          <w:sz w:val="22"/>
          <w:szCs w:val="22"/>
        </w:rPr>
        <w:t xml:space="preserve">The private key never leaves the user's machine; the cluster only ever sees the CSR, and the user ends up with nothing but a kubeconfig.</w:t>
      </w:r>
    </w:p>
    <w:p>
      <w:pPr>
        <w:pStyle w:val="Heading2"/>
      </w:pPr>
      <w:r>
        <w:rPr>
          <w:rFonts w:ascii="Arial" w:cs="Arial" w:eastAsia="Arial" w:hAnsi="Arial"/>
        </w:rPr>
        <w:t xml:space="preserve">3.2 Least-privilege RBAC</w:t>
      </w:r>
    </w:p>
    <w:p>
      <w:pPr>
        <w:spacing w:after="140" w:line="276"/>
      </w:pPr>
      <w:r>
        <w:rPr>
          <w:rFonts w:ascii="Arial" w:cs="Arial" w:eastAsia="Arial" w:hAnsi="Arial"/>
          <w:color w:val="1F2937"/>
          <w:sz w:val="22"/>
          <w:szCs w:val="22"/>
        </w:rPr>
        <w:t xml:space="preserve">The Role gives full lifecycle control of the Nginx objects (deployments, replicasets, pods, services, configmaps), read access to logs, events and the TLS secret, and the ability to request cert-manager Certificates, all scoped to one namespace. It grants nothing cluster-wide: no nodes, no other namespaces, no RBAC editing, no secrets outside the namespace. I bind to the group from the certificate's O field rather than to an individual, so new team members inherit the same access just by being issued a certificate with that group.</w:t>
      </w:r>
    </w:p>
    <w:p>
      <w:pPr>
        <w:shd w:fill="F1F5F9" w:val="clear"/>
        <w:spacing w:after="0" w:before="40"/>
      </w:pPr>
      <w:r>
        <w:rPr>
          <w:rFonts w:ascii="Consolas" w:cs="Consolas" w:eastAsia="Consolas" w:hAnsi="Consolas"/>
          <w:color w:val="0F172A"/>
          <w:sz w:val="19"/>
          <w:szCs w:val="19"/>
        </w:rPr>
        <w:t xml:space="preserve">KUBECONFIG=anna.kubeconfig kubectl get pods                 # OK</w:t>
      </w:r>
    </w:p>
    <w:p>
      <w:pPr>
        <w:shd w:fill="F1F5F9" w:val="clear"/>
        <w:spacing w:after="0" w:before="0"/>
      </w:pPr>
      <w:r>
        <w:rPr>
          <w:rFonts w:ascii="Consolas" w:cs="Consolas" w:eastAsia="Consolas" w:hAnsi="Consolas"/>
          <w:color w:val="0F172A"/>
          <w:sz w:val="19"/>
          <w:szCs w:val="19"/>
        </w:rPr>
        <w:t xml:space="preserve">KUBECONFIG=anna.kubeconfig kubectl get pods -n kube-system  # Forbidden</w:t>
      </w:r>
    </w:p>
    <w:p>
      <w:pPr>
        <w:shd w:fill="F1F5F9" w:val="clear"/>
        <w:spacing w:after="140" w:before="0"/>
      </w:pPr>
      <w:r>
        <w:rPr>
          <w:rFonts w:ascii="Consolas" w:cs="Consolas" w:eastAsia="Consolas" w:hAnsi="Consolas"/>
          <w:color w:val="0F172A"/>
          <w:sz w:val="19"/>
          <w:szCs w:val="19"/>
        </w:rPr>
        <w:t xml:space="preserve">KUBECONFIG=anna.kubeconfig kubectl get nodes                # Forbidden</w:t>
      </w:r>
    </w:p>
    <w:p>
      <w:pPr>
        <w:pStyle w:val="Heading1"/>
      </w:pPr>
      <w:r>
        <w:rPr>
          <w:rFonts w:ascii="Arial" w:cs="Arial" w:eastAsia="Arial" w:hAnsi="Arial"/>
        </w:rPr>
        <w:t xml:space="preserve">4. TLS with cert-manager</w:t>
      </w:r>
    </w:p>
    <w:p>
      <w:pPr>
        <w:spacing w:after="140" w:line="276"/>
      </w:pPr>
      <w:r>
        <w:rPr>
          <w:rFonts w:ascii="Arial" w:cs="Arial" w:eastAsia="Arial" w:hAnsi="Arial"/>
          <w:color w:val="1F2937"/>
          <w:sz w:val="22"/>
          <w:szCs w:val="22"/>
        </w:rPr>
        <w:t xml:space="preserve">cert-manager runs as an in-cluster controller that turns Certificate objects into real key pairs stored as Secrets and renews them before they expire. I bootstrap an internal Certificate Authority rather than use a public ACME issuer, so the site works with no public DNS and no internet-reachable endpoint, on a laptop or a cloud VM alike.</w:t>
      </w:r>
    </w:p>
    <w:p>
      <w:pPr>
        <w:spacing w:after="80" w:line="276"/>
      </w:pPr>
      <w:r>
        <w:rPr>
          <w:rFonts w:ascii="Arial" w:cs="Arial" w:eastAsia="Arial" w:hAnsi="Arial"/>
          <w:color w:val="1F2937"/>
          <w:sz w:val="22"/>
          <w:szCs w:val="22"/>
        </w:rPr>
        <w:t xml:space="preserve">The trust chain is three declarative steps:</w:t>
      </w:r>
    </w:p>
    <w:p>
      <w:pPr>
        <w:pStyle w:val="ListParagraph"/>
        <w:numPr>
          <w:ilvl w:val="0"/>
          <w:numId w:val="2"/>
        </w:numPr>
        <w:spacing w:after="60" w:line="268"/>
      </w:pPr>
      <w:r>
        <w:rPr>
          <w:rFonts w:ascii="Arial" w:cs="Arial" w:eastAsia="Arial" w:hAnsi="Arial"/>
          <w:color w:val="1F2937"/>
          <w:sz w:val="22"/>
          <w:szCs w:val="22"/>
        </w:rPr>
        <w:t xml:space="preserve">A selfSigned ClusterIssuer mints a root CA certificate.</w:t>
      </w:r>
    </w:p>
    <w:p>
      <w:pPr>
        <w:pStyle w:val="ListParagraph"/>
        <w:numPr>
          <w:ilvl w:val="0"/>
          <w:numId w:val="2"/>
        </w:numPr>
        <w:spacing w:after="60" w:line="268"/>
      </w:pPr>
      <w:r>
        <w:rPr>
          <w:rFonts w:ascii="Arial" w:cs="Arial" w:eastAsia="Arial" w:hAnsi="Arial"/>
          <w:color w:val="1F2937"/>
          <w:sz w:val="22"/>
          <w:szCs w:val="22"/>
        </w:rPr>
        <w:t xml:space="preserve">That root is stored in internal-ca-secret in the cert-manager namespace.</w:t>
      </w:r>
    </w:p>
    <w:p>
      <w:pPr>
        <w:pStyle w:val="ListParagraph"/>
        <w:numPr>
          <w:ilvl w:val="0"/>
          <w:numId w:val="2"/>
        </w:numPr>
        <w:spacing w:after="60" w:line="268"/>
      </w:pPr>
      <w:r>
        <w:rPr>
          <w:rFonts w:ascii="Arial" w:cs="Arial" w:eastAsia="Arial" w:hAnsi="Arial"/>
          <w:color w:val="1F2937"/>
          <w:sz w:val="22"/>
          <w:szCs w:val="22"/>
        </w:rPr>
        <w:t xml:space="preserve">A CA ClusterIssuer (internal-ca-issuer) uses that secret to sign application certificates, including the Nginx server certificate, which renews 15 days before its 90-day expiry.</w:t>
      </w:r>
    </w:p>
    <w:p>
      <w:pPr>
        <w:spacing w:after="140" w:line="276"/>
      </w:pPr>
      <w:r>
        <w:rPr>
          <w:rFonts w:ascii="Arial" w:cs="Arial" w:eastAsia="Arial" w:hAnsi="Arial"/>
          <w:color w:val="1F2937"/>
          <w:sz w:val="22"/>
          <w:szCs w:val="22"/>
        </w:rPr>
        <w:t xml:space="preserve">For production I'd swap the internal CA issuer for an ACME (Let's Encrypt) ClusterIssuer or a managed CA. Nothing else changes, since the Nginx Certificate just points at a different issuerRef.</w:t>
      </w:r>
    </w:p>
    <w:p>
      <w:pPr>
        <w:pStyle w:val="Heading1"/>
      </w:pPr>
      <w:r>
        <w:rPr>
          <w:rFonts w:ascii="Arial" w:cs="Arial" w:eastAsia="Arial" w:hAnsi="Arial"/>
        </w:rPr>
        <w:t xml:space="preserve">5. Nginx Deployment and Hardening</w:t>
      </w:r>
    </w:p>
    <w:p>
      <w:pPr>
        <w:spacing w:after="80" w:line="276"/>
      </w:pPr>
      <w:r>
        <w:rPr>
          <w:rFonts w:ascii="Arial" w:cs="Arial" w:eastAsia="Arial" w:hAnsi="Arial"/>
          <w:color w:val="1F2937"/>
          <w:sz w:val="22"/>
          <w:szCs w:val="22"/>
        </w:rPr>
        <w:t xml:space="preserve">I hardened the Nginx workload rather than leave it at defaults:</w:t>
      </w:r>
    </w:p>
    <w:p>
      <w:pPr>
        <w:pStyle w:val="ListParagraph"/>
        <w:numPr>
          <w:ilvl w:val="0"/>
          <w:numId w:val="2"/>
        </w:numPr>
        <w:spacing w:after="60" w:line="268"/>
      </w:pPr>
      <w:r>
        <w:rPr>
          <w:rFonts w:ascii="Arial" w:cs="Arial" w:eastAsia="Arial" w:hAnsi="Arial"/>
          <w:color w:val="1F2937"/>
          <w:sz w:val="22"/>
          <w:szCs w:val="22"/>
        </w:rPr>
        <w:t xml:space="preserve">Runs as a non-root user (UID 101) on the unprivileged Nginx image, listening on port 8443.</w:t>
      </w:r>
    </w:p>
    <w:p>
      <w:pPr>
        <w:pStyle w:val="ListParagraph"/>
        <w:numPr>
          <w:ilvl w:val="0"/>
          <w:numId w:val="2"/>
        </w:numPr>
        <w:spacing w:after="60" w:line="268"/>
      </w:pPr>
      <w:r>
        <w:rPr>
          <w:rFonts w:ascii="Arial" w:cs="Arial" w:eastAsia="Arial" w:hAnsi="Arial"/>
          <w:color w:val="1F2937"/>
          <w:sz w:val="22"/>
          <w:szCs w:val="22"/>
        </w:rPr>
        <w:t xml:space="preserve">Read-only root filesystem, with small emptyDir volumes only where Nginx must write (/tmp, /var/cache/nginx).</w:t>
      </w:r>
    </w:p>
    <w:p>
      <w:pPr>
        <w:pStyle w:val="ListParagraph"/>
        <w:numPr>
          <w:ilvl w:val="0"/>
          <w:numId w:val="2"/>
        </w:numPr>
        <w:spacing w:after="60" w:line="268"/>
      </w:pPr>
      <w:r>
        <w:rPr>
          <w:rFonts w:ascii="Arial" w:cs="Arial" w:eastAsia="Arial" w:hAnsi="Arial"/>
          <w:color w:val="1F2937"/>
          <w:sz w:val="22"/>
          <w:szCs w:val="22"/>
        </w:rPr>
        <w:t xml:space="preserve">All Linux capabilities dropped, allowPrivilegeEscalation set to false, and the RuntimeDefault seccomp profile applied.</w:t>
      </w:r>
    </w:p>
    <w:p>
      <w:pPr>
        <w:pStyle w:val="ListParagraph"/>
        <w:numPr>
          <w:ilvl w:val="0"/>
          <w:numId w:val="2"/>
        </w:numPr>
        <w:spacing w:after="60" w:line="268"/>
      </w:pPr>
      <w:r>
        <w:rPr>
          <w:rFonts w:ascii="Arial" w:cs="Arial" w:eastAsia="Arial" w:hAnsi="Arial"/>
          <w:color w:val="1F2937"/>
          <w:sz w:val="22"/>
          <w:szCs w:val="22"/>
        </w:rPr>
        <w:t xml:space="preserve">CPU and memory requests and limits set; readiness and liveness probes on an HTTPS health endpoint; two replicas for availability.</w:t>
      </w:r>
    </w:p>
    <w:p>
      <w:pPr>
        <w:spacing w:after="140" w:line="276"/>
      </w:pPr>
      <w:r>
        <w:rPr>
          <w:rFonts w:ascii="Arial" w:cs="Arial" w:eastAsia="Arial" w:hAnsi="Arial"/>
          <w:color w:val="1F2937"/>
          <w:sz w:val="22"/>
          <w:szCs w:val="22"/>
        </w:rPr>
        <w:t xml:space="preserve">Configuration and page content come from a ConfigMap and the TLS material from the cert-manager Secret, so the image stays stock and nothing sensitive is baked in.</w:t>
      </w:r>
    </w:p>
    <w:p>
      <w:pPr>
        <w:pStyle w:val="Heading1"/>
      </w:pPr>
      <w:r>
        <w:rPr>
          <w:rFonts w:ascii="Arial" w:cs="Arial" w:eastAsia="Arial" w:hAnsi="Arial"/>
        </w:rPr>
        <w:t xml:space="preserve">6. GitOps with Argo CD (Advanced Objective)</w:t>
      </w:r>
    </w:p>
    <w:p>
      <w:pPr>
        <w:spacing w:after="140" w:line="276"/>
      </w:pPr>
      <w:r>
        <w:rPr>
          <w:rFonts w:ascii="Arial" w:cs="Arial" w:eastAsia="Arial" w:hAnsi="Arial"/>
          <w:color w:val="1F2937"/>
          <w:sz w:val="22"/>
          <w:szCs w:val="22"/>
        </w:rPr>
        <w:t xml:space="preserve">Argo CD makes Git the source of truth. An Application object points at the nginx/ kustomize folder, and Argo CD continuously syncs the cluster to match Git, with automated pruning and self-heal so manual drift is reverted on its own. The operating model shifts from running kubectl by hand to merging a pull request, which gives an auditable history and a one-click rollback.</w:t>
      </w:r>
    </w:p>
    <w:p>
      <w:pPr>
        <w:spacing w:after="140" w:line="276"/>
      </w:pPr>
      <w:r>
        <w:rPr>
          <w:rFonts w:ascii="Arial" w:cs="Arial" w:eastAsia="Arial" w:hAnsi="Arial"/>
          <w:color w:val="1F2937"/>
          <w:sz w:val="22"/>
          <w:szCs w:val="22"/>
        </w:rPr>
        <w:t xml:space="preserve">I went with Argo CD over plain Helm because Helm packages and templates manifests but doesn't enforce desired state after install. Argo CD adds continuous reconciliation, drift detection and a visual sync status. (Argo CD can deploy Helm charts as well, so the two aren't mutually exclusive.)</w:t>
      </w:r>
    </w:p>
    <w:p>
      <w:pPr>
        <w:pStyle w:val="Heading1"/>
      </w:pPr>
      <w:r>
        <w:rPr>
          <w:rFonts w:ascii="Arial" w:cs="Arial" w:eastAsia="Arial" w:hAnsi="Arial"/>
        </w:rPr>
        <w:t xml:space="preserve">7. Key Decisions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CBD5E1" w:sz="4"/>
              <w:left w:val="single" w:color="CBD5E1" w:sz="4"/>
              <w:bottom w:val="single" w:color="CBD5E1" w:sz="4"/>
              <w:right w:val="single" w:color="CBD5E1" w:sz="4"/>
            </w:tcBorders>
            <w:shd w:fill="DBEAFE" w:val="clear"/>
            <w:tcMar>
              <w:top w:type="dxa" w:w="70"/>
              <w:left w:type="dxa" w:w="130"/>
              <w:bottom w:type="dxa" w:w="70"/>
              <w:right w:type="dxa" w:w="130"/>
            </w:tcMar>
          </w:tcPr>
          <w:p>
            <w:r>
              <w:rPr>
                <w:rFonts w:ascii="Arial" w:cs="Arial" w:eastAsia="Arial" w:hAnsi="Arial"/>
                <w:b/>
                <w:bCs/>
                <w:color w:val="1E3A8A"/>
                <w:sz w:val="20"/>
                <w:szCs w:val="20"/>
              </w:rPr>
              <w:t xml:space="preserve">Decision</w:t>
            </w:r>
          </w:p>
        </w:tc>
        <w:tc>
          <w:tcPr>
            <w:tcW w:type="dxa" w:w="2700"/>
            <w:tcBorders>
              <w:top w:val="single" w:color="CBD5E1" w:sz="4"/>
              <w:left w:val="single" w:color="CBD5E1" w:sz="4"/>
              <w:bottom w:val="single" w:color="CBD5E1" w:sz="4"/>
              <w:right w:val="single" w:color="CBD5E1" w:sz="4"/>
            </w:tcBorders>
            <w:shd w:fill="DBEAFE" w:val="clear"/>
            <w:tcMar>
              <w:top w:type="dxa" w:w="70"/>
              <w:left w:type="dxa" w:w="130"/>
              <w:bottom w:type="dxa" w:w="70"/>
              <w:right w:type="dxa" w:w="130"/>
            </w:tcMar>
          </w:tcPr>
          <w:p>
            <w:r>
              <w:rPr>
                <w:rFonts w:ascii="Arial" w:cs="Arial" w:eastAsia="Arial" w:hAnsi="Arial"/>
                <w:b/>
                <w:bCs/>
                <w:color w:val="1E3A8A"/>
                <w:sz w:val="20"/>
                <w:szCs w:val="20"/>
              </w:rPr>
              <w:t xml:space="preserve">Chosen approach</w:t>
            </w:r>
          </w:p>
        </w:tc>
        <w:tc>
          <w:tcPr>
            <w:tcW w:type="dxa" w:w="4560"/>
            <w:tcBorders>
              <w:top w:val="single" w:color="CBD5E1" w:sz="4"/>
              <w:left w:val="single" w:color="CBD5E1" w:sz="4"/>
              <w:bottom w:val="single" w:color="CBD5E1" w:sz="4"/>
              <w:right w:val="single" w:color="CBD5E1" w:sz="4"/>
            </w:tcBorders>
            <w:shd w:fill="DBEAFE" w:val="clear"/>
            <w:tcMar>
              <w:top w:type="dxa" w:w="70"/>
              <w:left w:type="dxa" w:w="130"/>
              <w:bottom w:type="dxa" w:w="70"/>
              <w:right w:type="dxa" w:w="130"/>
            </w:tcMar>
          </w:tcPr>
          <w:p>
            <w:r>
              <w:rPr>
                <w:rFonts w:ascii="Arial" w:cs="Arial" w:eastAsia="Arial" w:hAnsi="Arial"/>
                <w:b/>
                <w:bCs/>
                <w:color w:val="1E3A8A"/>
                <w:sz w:val="20"/>
                <w:szCs w:val="20"/>
              </w:rPr>
              <w:t xml:space="preserve">Tradeoff / why</w:t>
            </w:r>
          </w:p>
        </w:tc>
      </w:tr>
      <w:tr>
        <w:trPr>
          <w:tblHeader w:val="false"/>
        </w:trPr>
        <w:tc>
          <w:tcPr>
            <w:tcW w:type="dxa" w:w="21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Cluster installer</w:t>
            </w:r>
          </w:p>
        </w:tc>
        <w:tc>
          <w:tcPr>
            <w:tcW w:type="dxa" w:w="27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kubeadm directly</w:t>
            </w:r>
          </w:p>
        </w:tc>
        <w:tc>
          <w:tcPr>
            <w:tcW w:type="dxa" w:w="456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Required by the challenge; transparent and production-representative.</w:t>
            </w:r>
          </w:p>
        </w:tc>
      </w:tr>
      <w:tr>
        <w:trPr>
          <w:tblHeader w:val="false"/>
        </w:trPr>
        <w:tc>
          <w:tcPr>
            <w:tcW w:type="dxa" w:w="21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CNI</w:t>
            </w:r>
          </w:p>
        </w:tc>
        <w:tc>
          <w:tcPr>
            <w:tcW w:type="dxa" w:w="27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Calico</w:t>
            </w:r>
          </w:p>
        </w:tc>
        <w:tc>
          <w:tcPr>
            <w:tcW w:type="dxa" w:w="456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Supports NetworkPolicy for later segmentation; heavier than Flannel.</w:t>
            </w:r>
          </w:p>
        </w:tc>
      </w:tr>
      <w:tr>
        <w:trPr>
          <w:tblHeader w:val="false"/>
        </w:trPr>
        <w:tc>
          <w:tcPr>
            <w:tcW w:type="dxa" w:w="21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User auth</w:t>
            </w:r>
          </w:p>
        </w:tc>
        <w:tc>
          <w:tcPr>
            <w:tcW w:type="dxa" w:w="27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x509 client certs via the CSR API</w:t>
            </w:r>
          </w:p>
        </w:tc>
        <w:tc>
          <w:tcPr>
            <w:tcW w:type="dxa" w:w="456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Native, no external IdP; certificates can't be revoked individually (see section 8).</w:t>
            </w:r>
          </w:p>
        </w:tc>
      </w:tr>
      <w:tr>
        <w:trPr>
          <w:tblHeader w:val="false"/>
        </w:trPr>
        <w:tc>
          <w:tcPr>
            <w:tcW w:type="dxa" w:w="21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RBAC scope</w:t>
            </w:r>
          </w:p>
        </w:tc>
        <w:tc>
          <w:tcPr>
            <w:tcW w:type="dxa" w:w="27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Namespaced Role bound to a group</w:t>
            </w:r>
          </w:p>
        </w:tc>
        <w:tc>
          <w:tcPr>
            <w:tcW w:type="dxa" w:w="456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Least privilege; scales to teams. One Role per namespace.</w:t>
            </w:r>
          </w:p>
        </w:tc>
      </w:tr>
      <w:tr>
        <w:trPr>
          <w:tblHeader w:val="false"/>
        </w:trPr>
        <w:tc>
          <w:tcPr>
            <w:tcW w:type="dxa" w:w="21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TLS issuer</w:t>
            </w:r>
          </w:p>
        </w:tc>
        <w:tc>
          <w:tcPr>
            <w:tcW w:type="dxa" w:w="27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Internal self-signed CA</w:t>
            </w:r>
          </w:p>
        </w:tc>
        <w:tc>
          <w:tcPr>
            <w:tcW w:type="dxa" w:w="456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Works offline with no DNS; not browser-trusted (swap to ACME in production).</w:t>
            </w:r>
          </w:p>
        </w:tc>
      </w:tr>
      <w:tr>
        <w:trPr>
          <w:tblHeader w:val="false"/>
        </w:trPr>
        <w:tc>
          <w:tcPr>
            <w:tcW w:type="dxa" w:w="21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Exposure</w:t>
            </w:r>
          </w:p>
        </w:tc>
        <w:tc>
          <w:tcPr>
            <w:tcW w:type="dxa" w:w="27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NodePort</w:t>
            </w:r>
          </w:p>
        </w:tc>
        <w:tc>
          <w:tcPr>
            <w:tcW w:type="dxa" w:w="456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Portable, no extra components; less polished than an Ingress.</w:t>
            </w:r>
          </w:p>
        </w:tc>
      </w:tr>
      <w:tr>
        <w:trPr>
          <w:tblHeader w:val="false"/>
        </w:trPr>
        <w:tc>
          <w:tcPr>
            <w:tcW w:type="dxa" w:w="21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GitOps</w:t>
            </w:r>
          </w:p>
        </w:tc>
        <w:tc>
          <w:tcPr>
            <w:tcW w:type="dxa" w:w="27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Argo CD</w:t>
            </w:r>
          </w:p>
        </w:tc>
        <w:tc>
          <w:tcPr>
            <w:tcW w:type="dxa" w:w="456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Continuous reconciliation and drift detection; one extra component.</w:t>
            </w:r>
          </w:p>
        </w:tc>
      </w:tr>
      <w:tr>
        <w:trPr>
          <w:tblHeader w:val="false"/>
        </w:trPr>
        <w:tc>
          <w:tcPr>
            <w:tcW w:type="dxa" w:w="21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POC secrets</w:t>
            </w:r>
          </w:p>
        </w:tc>
        <w:tc>
          <w:tcPr>
            <w:tcW w:type="dxa" w:w="270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Auto-generated, never committed</w:t>
            </w:r>
          </w:p>
        </w:tc>
        <w:tc>
          <w:tcPr>
            <w:tcW w:type="dxa" w:w="4560"/>
            <w:tcBorders>
              <w:top w:val="single" w:color="CBD5E1" w:sz="4"/>
              <w:left w:val="single" w:color="CBD5E1" w:sz="4"/>
              <w:bottom w:val="single" w:color="CBD5E1" w:sz="4"/>
              <w:right w:val="single" w:color="CBD5E1" w:sz="4"/>
            </w:tcBorders>
            <w:tcMar>
              <w:top w:type="dxa" w:w="70"/>
              <w:left w:type="dxa" w:w="130"/>
              <w:bottom w:type="dxa" w:w="70"/>
              <w:right w:type="dxa" w:w="130"/>
            </w:tcMar>
          </w:tcPr>
          <w:p>
            <w:r>
              <w:rPr>
                <w:rFonts w:ascii="Arial" w:cs="Arial" w:eastAsia="Arial" w:hAnsi="Arial"/>
                <w:b w:val="false"/>
                <w:bCs w:val="false"/>
                <w:color w:val="1F2937"/>
                <w:sz w:val="20"/>
                <w:szCs w:val="20"/>
              </w:rPr>
              <w:t xml:space="preserve">Nothing sensitive in Git; created at runtime by cert-manager and the CSR flow.</w:t>
            </w:r>
          </w:p>
        </w:tc>
      </w:tr>
    </w:tbl>
    <w:p>
      <w:pPr>
        <w:spacing w:after="60"/>
      </w:pPr>
    </w:p>
    <w:p>
      <w:pPr>
        <w:pStyle w:val="Heading1"/>
      </w:pPr>
      <w:r>
        <w:rPr>
          <w:rFonts w:ascii="Arial" w:cs="Arial" w:eastAsia="Arial" w:hAnsi="Arial"/>
        </w:rPr>
        <w:t xml:space="preserve">8. Pros and Cons of Managing Access This Way</w:t>
      </w:r>
    </w:p>
    <w:p>
      <w:pPr>
        <w:spacing w:after="140" w:line="276"/>
      </w:pPr>
      <w:r>
        <w:rPr>
          <w:rFonts w:ascii="Arial" w:cs="Arial" w:eastAsia="Arial" w:hAnsi="Arial"/>
          <w:color w:val="1F2937"/>
          <w:sz w:val="22"/>
          <w:szCs w:val="22"/>
        </w:rPr>
        <w:t xml:space="preserve">An honest look at the upsides and downsides of running access this way:</w:t>
      </w:r>
    </w:p>
    <w:p>
      <w:pPr>
        <w:pStyle w:val="Heading3"/>
      </w:pPr>
      <w:r>
        <w:rPr>
          <w:rFonts w:ascii="Arial" w:cs="Arial" w:eastAsia="Arial" w:hAnsi="Arial"/>
        </w:rPr>
        <w:t xml:space="preserve">Strengths</w:t>
      </w:r>
    </w:p>
    <w:p>
      <w:pPr>
        <w:pStyle w:val="ListParagraph"/>
        <w:numPr>
          <w:ilvl w:val="0"/>
          <w:numId w:val="2"/>
        </w:numPr>
        <w:spacing w:after="60" w:line="268"/>
      </w:pPr>
      <w:r>
        <w:rPr>
          <w:rFonts w:ascii="Arial" w:cs="Arial" w:eastAsia="Arial" w:hAnsi="Arial"/>
          <w:color w:val="1F2937"/>
          <w:sz w:val="22"/>
          <w:szCs w:val="22"/>
        </w:rPr>
        <w:t xml:space="preserve">Native and dependency-free: no external identity provider and no extra infrastructure to authenticate to the API.</w:t>
      </w:r>
    </w:p>
    <w:p>
      <w:pPr>
        <w:pStyle w:val="ListParagraph"/>
        <w:numPr>
          <w:ilvl w:val="0"/>
          <w:numId w:val="2"/>
        </w:numPr>
        <w:spacing w:after="60" w:line="268"/>
      </w:pPr>
      <w:r>
        <w:rPr>
          <w:rFonts w:ascii="Arial" w:cs="Arial" w:eastAsia="Arial" w:hAnsi="Arial"/>
          <w:color w:val="1F2937"/>
          <w:sz w:val="22"/>
          <w:szCs w:val="22"/>
        </w:rPr>
        <w:t xml:space="preserve">Cryptographically strong: the private key never leaves the user; only a signed CSR crosses the wire.</w:t>
      </w:r>
    </w:p>
    <w:p>
      <w:pPr>
        <w:pStyle w:val="ListParagraph"/>
        <w:numPr>
          <w:ilvl w:val="0"/>
          <w:numId w:val="2"/>
        </w:numPr>
        <w:spacing w:after="60" w:line="268"/>
      </w:pPr>
      <w:r>
        <w:rPr>
          <w:rFonts w:ascii="Arial" w:cs="Arial" w:eastAsia="Arial" w:hAnsi="Arial"/>
          <w:color w:val="1F2937"/>
          <w:sz w:val="22"/>
          <w:szCs w:val="22"/>
        </w:rPr>
        <w:t xml:space="preserve">Clear authorization model: groups in the certificate map directly to RBAC RoleBindings, and least privilege is easy to express per namespace.</w:t>
      </w:r>
    </w:p>
    <w:p>
      <w:pPr>
        <w:pStyle w:val="ListParagraph"/>
        <w:numPr>
          <w:ilvl w:val="0"/>
          <w:numId w:val="2"/>
        </w:numPr>
        <w:spacing w:after="60" w:line="268"/>
      </w:pPr>
      <w:r>
        <w:rPr>
          <w:rFonts w:ascii="Arial" w:cs="Arial" w:eastAsia="Arial" w:hAnsi="Arial"/>
          <w:color w:val="1F2937"/>
          <w:sz w:val="22"/>
          <w:szCs w:val="22"/>
        </w:rPr>
        <w:t xml:space="preserve">Auditable and declarative: roles live in version control and review like code.</w:t>
      </w:r>
    </w:p>
    <w:p>
      <w:pPr>
        <w:pStyle w:val="Heading3"/>
      </w:pPr>
      <w:r>
        <w:rPr>
          <w:rFonts w:ascii="Arial" w:cs="Arial" w:eastAsia="Arial" w:hAnsi="Arial"/>
        </w:rPr>
        <w:t xml:space="preserve">Limitations</w:t>
      </w:r>
    </w:p>
    <w:p>
      <w:pPr>
        <w:pStyle w:val="ListParagraph"/>
        <w:numPr>
          <w:ilvl w:val="0"/>
          <w:numId w:val="2"/>
        </w:numPr>
        <w:spacing w:after="60" w:line="268"/>
      </w:pPr>
      <w:r>
        <w:rPr>
          <w:rFonts w:ascii="Arial" w:cs="Arial" w:eastAsia="Arial" w:hAnsi="Arial"/>
          <w:color w:val="1F2937"/>
          <w:sz w:val="22"/>
          <w:szCs w:val="22"/>
        </w:rPr>
        <w:t xml:space="preserve">No revocation: Kubernetes has no CRL or OCSP for client certificates. A leaked credential stays valid until it expires, mitigated only by short lifetimes and, in the worst case, rotating the cluster CA.</w:t>
      </w:r>
    </w:p>
    <w:p>
      <w:pPr>
        <w:pStyle w:val="ListParagraph"/>
        <w:numPr>
          <w:ilvl w:val="0"/>
          <w:numId w:val="2"/>
        </w:numPr>
        <w:spacing w:after="60" w:line="268"/>
      </w:pPr>
      <w:r>
        <w:rPr>
          <w:rFonts w:ascii="Arial" w:cs="Arial" w:eastAsia="Arial" w:hAnsi="Arial"/>
          <w:color w:val="1F2937"/>
          <w:sz w:val="22"/>
          <w:szCs w:val="22"/>
        </w:rPr>
        <w:t xml:space="preserve">No native user lifecycle: there is no user object, no group directory, no SSO and no MFA. Offboarding relies on expiry or CA rotation.</w:t>
      </w:r>
    </w:p>
    <w:p>
      <w:pPr>
        <w:pStyle w:val="ListParagraph"/>
        <w:numPr>
          <w:ilvl w:val="0"/>
          <w:numId w:val="2"/>
        </w:numPr>
        <w:spacing w:after="60" w:line="268"/>
      </w:pPr>
      <w:r>
        <w:rPr>
          <w:rFonts w:ascii="Arial" w:cs="Arial" w:eastAsia="Arial" w:hAnsi="Arial"/>
          <w:color w:val="1F2937"/>
          <w:sz w:val="22"/>
          <w:szCs w:val="22"/>
        </w:rPr>
        <w:t xml:space="preserve">Manual, per-user effort: every onboarding is a CSR plus an approval, which does not scale to hundreds of engineers.</w:t>
      </w:r>
    </w:p>
    <w:p>
      <w:pPr>
        <w:pStyle w:val="ListParagraph"/>
        <w:numPr>
          <w:ilvl w:val="0"/>
          <w:numId w:val="2"/>
        </w:numPr>
        <w:spacing w:after="60" w:line="268"/>
      </w:pPr>
      <w:r>
        <w:rPr>
          <w:rFonts w:ascii="Arial" w:cs="Arial" w:eastAsia="Arial" w:hAnsi="Arial"/>
          <w:color w:val="1F2937"/>
          <w:sz w:val="22"/>
          <w:szCs w:val="22"/>
        </w:rPr>
        <w:t xml:space="preserve">Credential distribution risk: kubeconfig files with embedded keys get copied to laptops and CI systems and are easy to mishandle.</w:t>
      </w:r>
    </w:p>
    <w:p>
      <w:pPr>
        <w:pStyle w:val="ListParagraph"/>
        <w:numPr>
          <w:ilvl w:val="0"/>
          <w:numId w:val="2"/>
        </w:numPr>
        <w:spacing w:after="60" w:line="268"/>
      </w:pPr>
      <w:r>
        <w:rPr>
          <w:rFonts w:ascii="Arial" w:cs="Arial" w:eastAsia="Arial" w:hAnsi="Arial"/>
          <w:color w:val="1F2937"/>
          <w:sz w:val="22"/>
          <w:szCs w:val="22"/>
        </w:rPr>
        <w:t xml:space="preserve">Coarse audit trail: logs show the certificate CN, with no link to a corporate identity or device posture.</w:t>
      </w:r>
    </w:p>
    <w:p>
      <w:pPr>
        <w:spacing w:after="140" w:line="276"/>
      </w:pPr>
      <w:r>
        <w:rPr>
          <w:rFonts w:ascii="Arial" w:cs="Arial" w:eastAsia="Arial" w:hAnsi="Arial"/>
          <w:color w:val="1F2937"/>
          <w:sz w:val="22"/>
          <w:szCs w:val="22"/>
        </w:rPr>
        <w:t xml:space="preserve">These limitations are essentially the problem an identity-aware proxy like Teleport is built to solve. It keeps the certificate-based model but ties certificates to an SSO identity, issues them short-lived and centrally, records sessions, and can revoke access on demand, which covers the revocation, lifecycle and audit gaps above.</w:t>
      </w:r>
    </w:p>
    <w:p>
      <w:pPr>
        <w:pStyle w:val="Heading1"/>
      </w:pPr>
      <w:r>
        <w:rPr>
          <w:rFonts w:ascii="Arial" w:cs="Arial" w:eastAsia="Arial" w:hAnsi="Arial"/>
        </w:rPr>
        <w:t xml:space="preserve">9. Reproducibility and Testing</w:t>
      </w:r>
    </w:p>
    <w:p>
      <w:pPr>
        <w:spacing w:after="140" w:line="276"/>
      </w:pPr>
      <w:r>
        <w:rPr>
          <w:rFonts w:ascii="Arial" w:cs="Arial" w:eastAsia="Arial" w:hAnsi="Arial"/>
          <w:color w:val="1F2937"/>
          <w:sz w:val="22"/>
          <w:szCs w:val="22"/>
        </w:rPr>
        <w:t xml:space="preserve">Every step is scripted and idempotent, and the manifests aggregate through a single kustomization, so the whole app applies with one command. The README walks through a clean run on three fresh Ubuntu VMs, and I validated it end to end on Azure using three Standard_B2s VMs in one VNet subnet.</w:t>
      </w:r>
    </w:p>
    <w:p>
      <w:pPr>
        <w:pStyle w:val="Heading1"/>
      </w:pPr>
      <w:r>
        <w:rPr>
          <w:rFonts w:ascii="Arial" w:cs="Arial" w:eastAsia="Arial" w:hAnsi="Arial"/>
        </w:rPr>
        <w:t xml:space="preserve">10. Future Work</w:t>
      </w:r>
    </w:p>
    <w:p>
      <w:pPr>
        <w:spacing w:after="80" w:line="276"/>
      </w:pPr>
      <w:r>
        <w:rPr>
          <w:rFonts w:ascii="Arial" w:cs="Arial" w:eastAsia="Arial" w:hAnsi="Arial"/>
          <w:color w:val="1F2937"/>
          <w:sz w:val="22"/>
          <w:szCs w:val="22"/>
        </w:rPr>
        <w:t xml:space="preserve">If I took this further:</w:t>
      </w:r>
    </w:p>
    <w:p>
      <w:pPr>
        <w:pStyle w:val="ListParagraph"/>
        <w:numPr>
          <w:ilvl w:val="0"/>
          <w:numId w:val="4"/>
        </w:numPr>
        <w:spacing w:after="60" w:line="268"/>
      </w:pPr>
      <w:r>
        <w:rPr>
          <w:rFonts w:ascii="Arial" w:cs="Arial" w:eastAsia="Arial" w:hAnsi="Arial"/>
          <w:color w:val="1F2937"/>
          <w:sz w:val="22"/>
          <w:szCs w:val="22"/>
        </w:rPr>
        <w:t xml:space="preserve">Replace the internal CA with an ACME/Let's Encrypt or managed-CA issuer for publicly trusted certificates.</w:t>
      </w:r>
    </w:p>
    <w:p>
      <w:pPr>
        <w:pStyle w:val="ListParagraph"/>
        <w:numPr>
          <w:ilvl w:val="0"/>
          <w:numId w:val="4"/>
        </w:numPr>
        <w:spacing w:after="60" w:line="268"/>
      </w:pPr>
      <w:r>
        <w:rPr>
          <w:rFonts w:ascii="Arial" w:cs="Arial" w:eastAsia="Arial" w:hAnsi="Arial"/>
          <w:color w:val="1F2937"/>
          <w:sz w:val="22"/>
          <w:szCs w:val="22"/>
        </w:rPr>
        <w:t xml:space="preserve">Add an Ingress controller for host and path routing behind a single TLS entry point.</w:t>
      </w:r>
    </w:p>
    <w:p>
      <w:pPr>
        <w:pStyle w:val="ListParagraph"/>
        <w:numPr>
          <w:ilvl w:val="0"/>
          <w:numId w:val="4"/>
        </w:numPr>
        <w:spacing w:after="60" w:line="268"/>
      </w:pPr>
      <w:r>
        <w:rPr>
          <w:rFonts w:ascii="Arial" w:cs="Arial" w:eastAsia="Arial" w:hAnsi="Arial"/>
          <w:color w:val="1F2937"/>
          <w:sz w:val="22"/>
          <w:szCs w:val="22"/>
        </w:rPr>
        <w:t xml:space="preserve">Apply NetworkPolicies to restrict pod-to-pod traffic.</w:t>
      </w:r>
    </w:p>
    <w:p>
      <w:pPr>
        <w:pStyle w:val="ListParagraph"/>
        <w:numPr>
          <w:ilvl w:val="0"/>
          <w:numId w:val="4"/>
        </w:numPr>
        <w:spacing w:after="60" w:line="268"/>
      </w:pPr>
      <w:r>
        <w:rPr>
          <w:rFonts w:ascii="Arial" w:cs="Arial" w:eastAsia="Arial" w:hAnsi="Arial"/>
          <w:color w:val="1F2937"/>
          <w:sz w:val="22"/>
          <w:szCs w:val="22"/>
        </w:rPr>
        <w:t xml:space="preserve">Manage Argo CD itself through GitOps (app-of-apps) and add CI policy checks such as kubeconform and conftest on pull requests.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D4ED8"/>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E40AF"/>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2026-06-24T22:24:49.792Z</dcterms:created>
  <dcterms:modified xsi:type="dcterms:W3CDTF">2026-06-24T22:24:49.792Z</dcterms:modified>
</cp:coreProperties>
</file>

<file path=docProps/custom.xml><?xml version="1.0" encoding="utf-8"?>
<Properties xmlns="http://schemas.openxmlformats.org/officeDocument/2006/custom-properties" xmlns:vt="http://schemas.openxmlformats.org/officeDocument/2006/docPropsVTypes"/>
</file>