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center"/>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40"/>
          <w:shd w:fill="auto" w:val="clear"/>
        </w:rPr>
        <w:t xml:space="preserve">Controls and compliance checklist </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i/>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Type an X in the “yes” or “no” column to answer the question: </w:t>
      </w:r>
      <w:r>
        <w:rPr>
          <w:rFonts w:ascii="Google Sans" w:hAnsi="Google Sans" w:cs="Google Sans" w:eastAsia="Google Sans"/>
          <w:i/>
          <w:color w:val="auto"/>
          <w:spacing w:val="0"/>
          <w:position w:val="0"/>
          <w:sz w:val="24"/>
          <w:shd w:fill="auto" w:val="clear"/>
        </w:rPr>
        <w:t xml:space="preserve">Does Botium Toys currently have this control in place?</w:t>
      </w: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6"/>
          <w:shd w:fill="auto" w:val="clear"/>
        </w:rPr>
      </w:pPr>
      <w:r>
        <w:rPr>
          <w:rFonts w:ascii="Google Sans" w:hAnsi="Google Sans" w:cs="Google Sans" w:eastAsia="Google Sans"/>
          <w:b/>
          <w:color w:val="auto"/>
          <w:spacing w:val="0"/>
          <w:position w:val="0"/>
          <w:sz w:val="24"/>
          <w:shd w:fill="auto" w:val="clear"/>
        </w:rPr>
        <w:t xml:space="preserve">Controls assessment checklist</w:t>
      </w:r>
    </w:p>
    <w:p>
      <w:pPr>
        <w:spacing w:before="0" w:after="0" w:line="276"/>
        <w:ind w:right="0" w:left="0" w:firstLine="0"/>
        <w:jc w:val="left"/>
        <w:rPr>
          <w:rFonts w:ascii="Google Sans" w:hAnsi="Google Sans" w:cs="Google Sans" w:eastAsia="Google Sans"/>
          <w:color w:val="auto"/>
          <w:spacing w:val="0"/>
          <w:position w:val="0"/>
          <w:sz w:val="22"/>
          <w:shd w:fill="auto" w:val="clear"/>
        </w:rPr>
      </w:pPr>
    </w:p>
    <w:tbl>
      <w:tblPr/>
      <w:tblGrid>
        <w:gridCol w:w="1125"/>
        <w:gridCol w:w="1020"/>
        <w:gridCol w:w="3225"/>
        <w:gridCol w:w="3525"/>
      </w:tblGrid>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righ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  Yes</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    No</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Control</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i/>
                <w:color w:val="auto"/>
                <w:spacing w:val="0"/>
                <w:position w:val="0"/>
                <w:sz w:val="24"/>
                <w:shd w:fill="auto" w:val="clear"/>
              </w:rPr>
              <w:t xml:space="preserve">Explanation</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9"/>
              </w:numPr>
              <w:spacing w:before="0" w:after="0" w:line="240"/>
              <w:ind w:right="0" w:left="720" w:hanging="36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Least Privilege </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Currently, all employees have access to customer data; privileges need to be limited to reduce the risk of a breach.</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Disaster recovery plans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There are no disaster recovery plans in place. These need to be implemented to ensure business continuity.</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Password policies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Employee password requirements are minimal, which could allow a threat actor to more easily access secure data/other assets via employee work equipment/the internal network.</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Separation of duties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Needs to be implemented to reduce the possibility of fraud/access to critical data, since the company CEO currently runs day-to-day operations and manages the payroll.</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Firewall</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existing firewall blocks traffic based on an appropriately defined set of security rules.</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hanging="36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hanging="36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Intrusion detection system (IDS)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IT department needs an IDS in place to help identify possible intrusions by threat actors.</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Backups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IT department needs to have backups of critical data, in the case of a breach, to ensure business continuity.</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Antivirus software</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Antivirus software is installed and monitored regularly by the IT department.</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Manual monitoring, maintenance, and intervention for legacy systems</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40"/>
              </w:numPr>
              <w:spacing w:before="0" w:after="0" w:line="240"/>
              <w:ind w:right="0" w:left="720" w:hanging="36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Encryption</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Encryption is not currently used; implementing it would provide greater confidentiality of sensitive information.</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Password management system</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There is no password management system currently in place; implementing this control would improve IT department/other employee productivity in the case of password issues.</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Locks (offices, storefront, warehouse)</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store’s physical location, which includes the company’s main offices, store front, and warehouse of products, has sufficient locks.</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Closed-circuit television (CCTV) surveillance</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CCTV is installed/functioning at the store’s physical location.</w:t>
            </w:r>
          </w:p>
        </w:tc>
      </w:tr>
      <w:tr>
        <w:trPr>
          <w:trHeight w:val="1" w:hRule="atLeast"/>
          <w:jc w:val="left"/>
        </w:trPr>
        <w:tc>
          <w:tcPr>
            <w:tcW w:w="11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Fire detection/prevention (fire alarm, sprinkler system, etc.)</w:t>
            </w:r>
          </w:p>
        </w:tc>
        <w:tc>
          <w:tcPr>
            <w:tcW w:w="352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Botium Toys’ physical location has a functioning fire detection and prevention system.</w:t>
            </w:r>
          </w:p>
        </w:tc>
      </w:tr>
    </w:tbl>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b/>
          <w:color w:val="auto"/>
          <w:spacing w:val="0"/>
          <w:position w:val="0"/>
          <w:sz w:val="24"/>
          <w:shd w:fill="auto" w:val="clear"/>
        </w:rPr>
      </w:pPr>
      <w:r>
        <w:rPr>
          <w:rFonts w:ascii="Google Sans" w:hAnsi="Google Sans" w:cs="Google Sans" w:eastAsia="Google Sans"/>
          <w:b/>
          <w:color w:val="auto"/>
          <w:spacing w:val="0"/>
          <w:position w:val="0"/>
          <w:sz w:val="24"/>
          <w:shd w:fill="auto" w:val="clear"/>
        </w:rPr>
        <w:t xml:space="preserve">Compliance checklist</w:t>
      </w:r>
    </w:p>
    <w:p>
      <w:pPr>
        <w:spacing w:before="0" w:after="0" w:line="276"/>
        <w:ind w:right="0" w:left="0" w:firstLine="0"/>
        <w:jc w:val="left"/>
        <w:rPr>
          <w:rFonts w:ascii="Google Sans" w:hAnsi="Google Sans" w:cs="Google Sans" w:eastAsia="Google Sans"/>
          <w:b/>
          <w:color w:val="auto"/>
          <w:spacing w:val="0"/>
          <w:position w:val="0"/>
          <w:sz w:val="24"/>
          <w:shd w:fill="auto" w:val="clear"/>
        </w:rPr>
      </w:pPr>
    </w:p>
    <w:p>
      <w:pPr>
        <w:spacing w:before="0" w:after="0" w:line="276"/>
        <w:ind w:right="0" w:left="0" w:firstLine="0"/>
        <w:jc w:val="left"/>
        <w:rPr>
          <w:rFonts w:ascii="Google Sans" w:hAnsi="Google Sans" w:cs="Google Sans" w:eastAsia="Google Sans"/>
          <w:b/>
          <w:i/>
          <w:color w:val="auto"/>
          <w:spacing w:val="0"/>
          <w:position w:val="0"/>
          <w:sz w:val="24"/>
          <w:shd w:fill="auto" w:val="clear"/>
        </w:rPr>
      </w:pPr>
      <w:r>
        <w:rPr>
          <w:rFonts w:ascii="Google Sans" w:hAnsi="Google Sans" w:cs="Google Sans" w:eastAsia="Google Sans"/>
          <w:color w:val="auto"/>
          <w:spacing w:val="0"/>
          <w:position w:val="0"/>
          <w:sz w:val="24"/>
          <w:shd w:fill="auto" w:val="clear"/>
        </w:rPr>
        <w:t xml:space="preserve">Type an X in the “yes” or “no” column to answer the question: </w:t>
      </w:r>
      <w:r>
        <w:rPr>
          <w:rFonts w:ascii="Google Sans" w:hAnsi="Google Sans" w:cs="Google Sans" w:eastAsia="Google Sans"/>
          <w:i/>
          <w:color w:val="auto"/>
          <w:spacing w:val="0"/>
          <w:position w:val="0"/>
          <w:sz w:val="24"/>
          <w:shd w:fill="auto" w:val="clear"/>
        </w:rPr>
        <w:t xml:space="preserve">Does Botium Toys currently adhere to this compliance best practice?</w:t>
      </w:r>
    </w:p>
    <w:p>
      <w:pPr>
        <w:spacing w:before="0" w:after="0" w:line="276"/>
        <w:ind w:right="0" w:left="0" w:firstLine="0"/>
        <w:jc w:val="left"/>
        <w:rPr>
          <w:rFonts w:ascii="Google Sans" w:hAnsi="Google Sans" w:cs="Google Sans" w:eastAsia="Google Sans"/>
          <w:b/>
          <w:color w:val="auto"/>
          <w:spacing w:val="0"/>
          <w:position w:val="0"/>
          <w:sz w:val="24"/>
          <w:shd w:fill="auto" w:val="clear"/>
        </w:rPr>
      </w:pPr>
    </w:p>
    <w:p>
      <w:pPr>
        <w:spacing w:before="0" w:after="200" w:line="360"/>
        <w:ind w:right="0" w:left="0" w:firstLine="0"/>
        <w:jc w:val="left"/>
        <w:rPr>
          <w:rFonts w:ascii="Google Sans" w:hAnsi="Google Sans" w:cs="Google Sans" w:eastAsia="Google Sans"/>
          <w:color w:val="auto"/>
          <w:spacing w:val="0"/>
          <w:position w:val="0"/>
          <w:sz w:val="24"/>
          <w:u w:val="single"/>
          <w:shd w:fill="auto" w:val="clear"/>
        </w:rPr>
      </w:pPr>
      <w:r>
        <w:rPr>
          <w:rFonts w:ascii="Google Sans" w:hAnsi="Google Sans" w:cs="Google Sans" w:eastAsia="Google Sans"/>
          <w:color w:val="auto"/>
          <w:spacing w:val="0"/>
          <w:position w:val="0"/>
          <w:sz w:val="24"/>
          <w:u w:val="single"/>
          <w:shd w:fill="auto" w:val="clear"/>
        </w:rPr>
        <w:t xml:space="preserve">Payment Card Industry Data Security Standard (PCI DSS)</w:t>
      </w:r>
    </w:p>
    <w:tbl>
      <w:tblPr/>
      <w:tblGrid>
        <w:gridCol w:w="1110"/>
        <w:gridCol w:w="1080"/>
        <w:gridCol w:w="3255"/>
        <w:gridCol w:w="3900"/>
      </w:tblGrid>
      <w:tr>
        <w:trPr>
          <w:trHeight w:val="1" w:hRule="atLeast"/>
          <w:jc w:val="left"/>
        </w:trPr>
        <w:tc>
          <w:tcPr>
            <w:tcW w:w="111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righ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Yes</w:t>
            </w:r>
          </w:p>
        </w:tc>
        <w:tc>
          <w:tcPr>
            <w:tcW w:w="10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    No</w:t>
            </w:r>
          </w:p>
        </w:tc>
        <w:tc>
          <w:tcPr>
            <w:tcW w:w="325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Best practice</w:t>
            </w:r>
          </w:p>
        </w:tc>
        <w:tc>
          <w:tcPr>
            <w:tcW w:w="39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i/>
                <w:color w:val="auto"/>
                <w:spacing w:val="0"/>
                <w:position w:val="0"/>
                <w:sz w:val="24"/>
                <w:shd w:fill="auto" w:val="clear"/>
              </w:rPr>
              <w:t xml:space="preserve">Explanation</w:t>
            </w:r>
          </w:p>
        </w:tc>
      </w:tr>
      <w:tr>
        <w:trPr>
          <w:trHeight w:val="1" w:hRule="atLeast"/>
          <w:jc w:val="left"/>
        </w:trPr>
        <w:tc>
          <w:tcPr>
            <w:tcW w:w="111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64"/>
              </w:numPr>
              <w:spacing w:before="0" w:after="0" w:line="240"/>
              <w:ind w:right="0" w:left="720" w:hanging="360"/>
              <w:jc w:val="both"/>
              <w:rPr>
                <w:rFonts w:ascii="Calibri" w:hAnsi="Calibri" w:cs="Calibri" w:eastAsia="Calibri"/>
                <w:color w:val="auto"/>
                <w:spacing w:val="0"/>
                <w:position w:val="0"/>
                <w:sz w:val="22"/>
                <w:shd w:fill="auto" w:val="clear"/>
              </w:rPr>
            </w:pPr>
          </w:p>
        </w:tc>
        <w:tc>
          <w:tcPr>
            <w:tcW w:w="10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5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Only authorized users have access to customers’ credit card information. </w:t>
            </w:r>
          </w:p>
        </w:tc>
        <w:tc>
          <w:tcPr>
            <w:tcW w:w="39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Currently, all employees have access to the company’s internal data.</w:t>
            </w:r>
          </w:p>
        </w:tc>
      </w:tr>
      <w:tr>
        <w:trPr>
          <w:trHeight w:val="1" w:hRule="atLeast"/>
          <w:jc w:val="left"/>
        </w:trPr>
        <w:tc>
          <w:tcPr>
            <w:tcW w:w="111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5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Credit card information is accepted, processed, transmitted, and stored internally, in a secure environment.</w:t>
            </w:r>
          </w:p>
        </w:tc>
        <w:tc>
          <w:tcPr>
            <w:tcW w:w="39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Credit card information is not encrypted and all employees currently have access to internal data, including customers’ credit card information.</w:t>
            </w:r>
          </w:p>
        </w:tc>
      </w:tr>
      <w:tr>
        <w:trPr>
          <w:trHeight w:val="1" w:hRule="atLeast"/>
          <w:jc w:val="left"/>
        </w:trPr>
        <w:tc>
          <w:tcPr>
            <w:tcW w:w="111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5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Google Sans" w:hAnsi="Google Sans" w:cs="Google Sans" w:eastAsia="Google Sans"/>
                <w:color w:val="auto"/>
                <w:spacing w:val="0"/>
                <w:position w:val="0"/>
                <w:sz w:val="24"/>
                <w:shd w:fill="auto" w:val="clear"/>
              </w:rPr>
              <w:t xml:space="preserve">Implement data encryption procedures to better secure credit card transaction touchpoints and data.</w:t>
            </w:r>
            <w:r>
              <w:rPr>
                <w:rFonts w:ascii="Google Sans" w:hAnsi="Google Sans" w:cs="Google Sans" w:eastAsia="Google Sans"/>
                <w:color w:val="auto"/>
                <w:spacing w:val="0"/>
                <w:position w:val="0"/>
                <w:sz w:val="24"/>
                <w:shd w:fill="FFFF00" w:val="clear"/>
              </w:rPr>
              <w:t xml:space="preserve"> </w:t>
            </w:r>
          </w:p>
        </w:tc>
        <w:tc>
          <w:tcPr>
            <w:tcW w:w="39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company does not currently use encryption to better ensure the confidentiality of customers’ financial information.</w:t>
            </w:r>
          </w:p>
        </w:tc>
      </w:tr>
      <w:tr>
        <w:trPr>
          <w:trHeight w:val="1" w:hRule="atLeast"/>
          <w:jc w:val="left"/>
        </w:trPr>
        <w:tc>
          <w:tcPr>
            <w:tcW w:w="111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08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5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Adopt secure password management policies.</w:t>
            </w:r>
          </w:p>
        </w:tc>
        <w:tc>
          <w:tcPr>
            <w:tcW w:w="39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Password policies are nominal and no password management system is currently in place.</w:t>
            </w:r>
          </w:p>
        </w:tc>
      </w:tr>
    </w:tbl>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200" w:line="360"/>
        <w:ind w:right="0" w:left="0" w:firstLine="0"/>
        <w:jc w:val="left"/>
        <w:rPr>
          <w:rFonts w:ascii="Google Sans" w:hAnsi="Google Sans" w:cs="Google Sans" w:eastAsia="Google Sans"/>
          <w:color w:val="auto"/>
          <w:spacing w:val="0"/>
          <w:position w:val="0"/>
          <w:sz w:val="24"/>
          <w:u w:val="single"/>
          <w:shd w:fill="auto" w:val="clear"/>
        </w:rPr>
      </w:pPr>
      <w:r>
        <w:rPr>
          <w:rFonts w:ascii="Google Sans" w:hAnsi="Google Sans" w:cs="Google Sans" w:eastAsia="Google Sans"/>
          <w:color w:val="auto"/>
          <w:spacing w:val="0"/>
          <w:position w:val="0"/>
          <w:sz w:val="24"/>
          <w:u w:val="single"/>
          <w:shd w:fill="auto" w:val="clear"/>
        </w:rPr>
        <w:t xml:space="preserve">General Data Protection Regulation (GDPR)</w:t>
      </w:r>
    </w:p>
    <w:tbl>
      <w:tblPr/>
      <w:tblGrid>
        <w:gridCol w:w="1200"/>
        <w:gridCol w:w="1140"/>
        <w:gridCol w:w="3120"/>
        <w:gridCol w:w="4020"/>
      </w:tblGrid>
      <w:tr>
        <w:trPr>
          <w:trHeight w:val="1" w:hRule="atLeast"/>
          <w:jc w:val="left"/>
        </w:trPr>
        <w:tc>
          <w:tcPr>
            <w:tcW w:w="12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righ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Yes</w:t>
            </w: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    No</w:t>
            </w:r>
          </w:p>
        </w:tc>
        <w:tc>
          <w:tcPr>
            <w:tcW w:w="31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Best practice</w:t>
            </w:r>
          </w:p>
        </w:tc>
        <w:tc>
          <w:tcPr>
            <w:tcW w:w="4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i/>
                <w:color w:val="auto"/>
                <w:spacing w:val="0"/>
                <w:position w:val="0"/>
                <w:sz w:val="24"/>
                <w:shd w:fill="auto" w:val="clear"/>
              </w:rPr>
              <w:t xml:space="preserve">Explanation</w:t>
            </w:r>
          </w:p>
        </w:tc>
      </w:tr>
      <w:tr>
        <w:trPr>
          <w:trHeight w:val="1" w:hRule="atLeast"/>
          <w:jc w:val="left"/>
        </w:trPr>
        <w:tc>
          <w:tcPr>
            <w:tcW w:w="12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85"/>
              </w:numPr>
              <w:spacing w:before="0" w:after="0" w:line="240"/>
              <w:ind w:right="0" w:left="720" w:hanging="360"/>
              <w:jc w:val="both"/>
              <w:rPr>
                <w:rFonts w:ascii="Calibri" w:hAnsi="Calibri" w:cs="Calibri" w:eastAsia="Calibri"/>
                <w:color w:val="auto"/>
                <w:spacing w:val="0"/>
                <w:position w:val="0"/>
                <w:sz w:val="22"/>
                <w:shd w:fill="auto" w:val="clear"/>
              </w:rPr>
            </w:pP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1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E.U. customers’ data is kept private/secured.</w:t>
            </w:r>
          </w:p>
        </w:tc>
        <w:tc>
          <w:tcPr>
            <w:tcW w:w="4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 company does not currently use encryption to better ensure the confidentiality of customers’ financial information.</w:t>
            </w:r>
          </w:p>
        </w:tc>
      </w:tr>
      <w:tr>
        <w:trPr>
          <w:trHeight w:val="1" w:hRule="atLeast"/>
          <w:jc w:val="left"/>
        </w:trPr>
        <w:tc>
          <w:tcPr>
            <w:tcW w:w="12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1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There is a plan in place to notify E.U. customers within 72 hours if their data is compromised/there is a breach.</w:t>
            </w:r>
          </w:p>
        </w:tc>
        <w:tc>
          <w:tcPr>
            <w:tcW w:w="4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There is a plan to notify E.U. customers within 72 hours of a data breach.</w:t>
            </w:r>
          </w:p>
        </w:tc>
      </w:tr>
      <w:tr>
        <w:trPr>
          <w:trHeight w:val="1" w:hRule="atLeast"/>
          <w:jc w:val="left"/>
        </w:trPr>
        <w:tc>
          <w:tcPr>
            <w:tcW w:w="12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1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Ensure data is properly classified and inventoried.</w:t>
            </w:r>
          </w:p>
        </w:tc>
        <w:tc>
          <w:tcPr>
            <w:tcW w:w="4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Current assets have been inventoried/listed, but not classified.</w:t>
            </w:r>
          </w:p>
        </w:tc>
      </w:tr>
      <w:tr>
        <w:trPr>
          <w:trHeight w:val="1" w:hRule="atLeast"/>
          <w:jc w:val="left"/>
        </w:trPr>
        <w:tc>
          <w:tcPr>
            <w:tcW w:w="120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1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Enforce privacy policies, procedures, and processes to properly document and maintain data.</w:t>
            </w:r>
          </w:p>
        </w:tc>
        <w:tc>
          <w:tcPr>
            <w:tcW w:w="402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Privacy policies, procedures, and processes have been developed and enforced among IT team members and other employees, as needed.</w:t>
            </w:r>
          </w:p>
        </w:tc>
      </w:tr>
    </w:tbl>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0" w:line="276"/>
        <w:ind w:right="0" w:left="0" w:firstLine="0"/>
        <w:jc w:val="left"/>
        <w:rPr>
          <w:rFonts w:ascii="Google Sans" w:hAnsi="Google Sans" w:cs="Google Sans" w:eastAsia="Google Sans"/>
          <w:color w:val="auto"/>
          <w:spacing w:val="0"/>
          <w:position w:val="0"/>
          <w:sz w:val="24"/>
          <w:shd w:fill="auto" w:val="clear"/>
        </w:rPr>
      </w:pPr>
    </w:p>
    <w:p>
      <w:pPr>
        <w:spacing w:before="0" w:after="200" w:line="360"/>
        <w:ind w:right="0" w:left="0" w:firstLine="0"/>
        <w:jc w:val="left"/>
        <w:rPr>
          <w:rFonts w:ascii="Google Sans" w:hAnsi="Google Sans" w:cs="Google Sans" w:eastAsia="Google Sans"/>
          <w:color w:val="auto"/>
          <w:spacing w:val="0"/>
          <w:position w:val="0"/>
          <w:sz w:val="24"/>
          <w:shd w:fill="auto" w:val="clear"/>
        </w:rPr>
      </w:pPr>
      <w:r>
        <w:rPr>
          <w:rFonts w:ascii="Google Sans" w:hAnsi="Google Sans" w:cs="Google Sans" w:eastAsia="Google Sans"/>
          <w:color w:val="auto"/>
          <w:spacing w:val="0"/>
          <w:position w:val="0"/>
          <w:sz w:val="24"/>
          <w:u w:val="single"/>
          <w:shd w:fill="auto" w:val="clear"/>
        </w:rPr>
        <w:t xml:space="preserve">System and Organizations Controls (SOC type 1, SOC type 2)</w:t>
      </w:r>
      <w:r>
        <w:rPr>
          <w:rFonts w:ascii="Google Sans" w:hAnsi="Google Sans" w:cs="Google Sans" w:eastAsia="Google Sans"/>
          <w:color w:val="auto"/>
          <w:spacing w:val="0"/>
          <w:position w:val="0"/>
          <w:sz w:val="24"/>
          <w:shd w:fill="auto" w:val="clear"/>
        </w:rPr>
        <w:t xml:space="preserve"> </w:t>
      </w:r>
    </w:p>
    <w:tbl>
      <w:tblPr/>
      <w:tblGrid>
        <w:gridCol w:w="1215"/>
        <w:gridCol w:w="1140"/>
        <w:gridCol w:w="3285"/>
        <w:gridCol w:w="3495"/>
      </w:tblGrid>
      <w:tr>
        <w:trPr>
          <w:trHeight w:val="1" w:hRule="atLeast"/>
          <w:jc w:val="left"/>
        </w:trPr>
        <w:tc>
          <w:tcPr>
            <w:tcW w:w="121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righ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Yes</w:t>
            </w: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    No</w:t>
            </w:r>
          </w:p>
        </w:tc>
        <w:tc>
          <w:tcPr>
            <w:tcW w:w="328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color w:val="auto"/>
                <w:spacing w:val="0"/>
                <w:position w:val="0"/>
                <w:sz w:val="24"/>
                <w:shd w:fill="auto" w:val="clear"/>
              </w:rPr>
              <w:t xml:space="preserve">Best practice</w:t>
            </w:r>
          </w:p>
        </w:tc>
        <w:tc>
          <w:tcPr>
            <w:tcW w:w="349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b/>
                <w:i/>
                <w:color w:val="auto"/>
                <w:spacing w:val="0"/>
                <w:position w:val="0"/>
                <w:sz w:val="24"/>
                <w:shd w:fill="auto" w:val="clear"/>
              </w:rPr>
              <w:t xml:space="preserve">Explanation</w:t>
            </w:r>
          </w:p>
        </w:tc>
      </w:tr>
      <w:tr>
        <w:trPr>
          <w:trHeight w:val="1" w:hRule="atLeast"/>
          <w:jc w:val="left"/>
        </w:trPr>
        <w:tc>
          <w:tcPr>
            <w:tcW w:w="121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numPr>
                <w:ilvl w:val="0"/>
                <w:numId w:val="107"/>
              </w:numPr>
              <w:spacing w:before="0" w:after="0" w:line="240"/>
              <w:ind w:right="0" w:left="720" w:hanging="360"/>
              <w:jc w:val="both"/>
              <w:rPr>
                <w:rFonts w:ascii="Calibri" w:hAnsi="Calibri" w:cs="Calibri" w:eastAsia="Calibri"/>
                <w:color w:val="auto"/>
                <w:spacing w:val="0"/>
                <w:position w:val="0"/>
                <w:sz w:val="22"/>
                <w:shd w:fill="auto" w:val="clear"/>
              </w:rPr>
            </w:pP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8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User access policies are established.</w:t>
            </w:r>
          </w:p>
        </w:tc>
        <w:tc>
          <w:tcPr>
            <w:tcW w:w="349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76"/>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Controls of Least Privilege and separation of duties are not currently in place; all employees have access to internally stored data.</w:t>
            </w:r>
          </w:p>
        </w:tc>
      </w:tr>
      <w:tr>
        <w:trPr>
          <w:trHeight w:val="1" w:hRule="atLeast"/>
          <w:jc w:val="left"/>
        </w:trPr>
        <w:tc>
          <w:tcPr>
            <w:tcW w:w="121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8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Sensitive data (PII/SPII) is confidential/private.</w:t>
            </w:r>
          </w:p>
        </w:tc>
        <w:tc>
          <w:tcPr>
            <w:tcW w:w="349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Encryption is not currently used to better ensure the confidentiality of PII/SPII.</w:t>
            </w:r>
          </w:p>
        </w:tc>
      </w:tr>
      <w:tr>
        <w:trPr>
          <w:trHeight w:val="1" w:hRule="atLeast"/>
          <w:jc w:val="left"/>
        </w:trPr>
        <w:tc>
          <w:tcPr>
            <w:tcW w:w="121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328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Data integrity ensures the data is consistent, complete, accurate, and has been validated.</w:t>
            </w:r>
          </w:p>
        </w:tc>
        <w:tc>
          <w:tcPr>
            <w:tcW w:w="349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Data integrity is in place.</w:t>
            </w:r>
          </w:p>
        </w:tc>
      </w:tr>
      <w:tr>
        <w:trPr>
          <w:trHeight w:val="1" w:hRule="atLeast"/>
          <w:jc w:val="left"/>
        </w:trPr>
        <w:tc>
          <w:tcPr>
            <w:tcW w:w="121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rFonts w:ascii="Calibri" w:hAnsi="Calibri" w:cs="Calibri" w:eastAsia="Calibri"/>
                <w:color w:val="auto"/>
                <w:spacing w:val="0"/>
                <w:position w:val="0"/>
                <w:sz w:val="22"/>
                <w:shd w:fill="auto" w:val="clear"/>
              </w:rPr>
            </w:pPr>
          </w:p>
        </w:tc>
        <w:tc>
          <w:tcPr>
            <w:tcW w:w="1140"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720" w:firstLine="0"/>
              <w:jc w:val="both"/>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X</w:t>
            </w:r>
          </w:p>
        </w:tc>
        <w:tc>
          <w:tcPr>
            <w:tcW w:w="328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color w:val="auto"/>
                <w:spacing w:val="0"/>
                <w:position w:val="0"/>
                <w:sz w:val="24"/>
                <w:shd w:fill="auto" w:val="clear"/>
              </w:rPr>
              <w:t xml:space="preserve">Data is available to individuals authorized to access it.</w:t>
            </w:r>
          </w:p>
        </w:tc>
        <w:tc>
          <w:tcPr>
            <w:tcW w:w="3495" w:type="dxa"/>
            <w:tcBorders>
              <w:top w:val="single" w:color="ffffff" w:sz="8"/>
              <w:left w:val="single" w:color="ffffff" w:sz="8"/>
              <w:bottom w:val="single" w:color="ffffff" w:sz="8"/>
              <w:right w:val="single" w:color="ffffff"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Google Sans" w:hAnsi="Google Sans" w:cs="Google Sans" w:eastAsia="Google Sans"/>
                <w:i/>
                <w:color w:val="auto"/>
                <w:spacing w:val="0"/>
                <w:position w:val="0"/>
                <w:sz w:val="24"/>
                <w:shd w:fill="auto" w:val="clear"/>
              </w:rPr>
              <w:t xml:space="preserve">While data is available to all employees, authorization needs to be limited to only the individuals who need access to it to do their jobs.</w:t>
            </w:r>
          </w:p>
        </w:tc>
      </w:tr>
    </w:tbl>
    <w:p>
      <w:pPr>
        <w:spacing w:before="0" w:after="200" w:line="360"/>
        <w:ind w:right="0" w:left="0" w:firstLine="0"/>
        <w:jc w:val="left"/>
        <w:rPr>
          <w:rFonts w:ascii="Google Sans" w:hAnsi="Google Sans" w:cs="Google Sans" w:eastAsia="Google Sans"/>
          <w:color w:val="auto"/>
          <w:spacing w:val="0"/>
          <w:position w:val="0"/>
          <w:sz w:val="24"/>
          <w:shd w:fill="auto" w:val="clear"/>
        </w:rPr>
      </w:pPr>
    </w:p>
    <w:p>
      <w:pPr>
        <w:spacing w:before="0" w:after="200" w:line="360"/>
        <w:ind w:right="0" w:left="0" w:firstLine="0"/>
        <w:jc w:val="left"/>
        <w:rPr>
          <w:rFonts w:ascii="Google Sans" w:hAnsi="Google Sans" w:cs="Google Sans" w:eastAsia="Google Sans"/>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Google Sans" w:hAnsi="Google Sans" w:cs="Google Sans" w:eastAsia="Google Sans"/>
          <w:b/>
          <w:color w:val="auto"/>
          <w:spacing w:val="0"/>
          <w:position w:val="0"/>
          <w:sz w:val="24"/>
          <w:shd w:fill="auto" w:val="clear"/>
        </w:rPr>
        <w:t xml:space="preserve">Recommendations (optional):  </w:t>
      </w:r>
      <w:r>
        <w:rPr>
          <w:rFonts w:ascii="Google Sans" w:hAnsi="Google Sans" w:cs="Google Sans" w:eastAsia="Google Sans"/>
          <w:color w:val="auto"/>
          <w:spacing w:val="0"/>
          <w:position w:val="0"/>
          <w:sz w:val="24"/>
          <w:shd w:fill="auto" w:val="clear"/>
        </w:rPr>
        <w:t xml:space="preserve">In this section, provide recommendations, related to controls and/or compliance needs, that your IT manager could communicate to stakeholders to reduce risks to assets and improve Botium Toys’ security posture.</w:t>
      </w:r>
    </w:p>
    <w:p>
      <w:pPr>
        <w:spacing w:before="0" w:after="0" w:line="276"/>
        <w:ind w:right="0" w:left="0" w:firstLine="0"/>
        <w:jc w:val="left"/>
        <w:rPr>
          <w:rFonts w:ascii="Google Sans" w:hAnsi="Google Sans" w:cs="Google Sans" w:eastAsia="Google Sans"/>
          <w:i/>
          <w:color w:val="auto"/>
          <w:spacing w:val="0"/>
          <w:position w:val="0"/>
          <w:sz w:val="24"/>
          <w:shd w:fill="auto" w:val="clear"/>
        </w:rPr>
      </w:pPr>
      <w:r>
        <w:rPr>
          <w:rFonts w:ascii="Google Sans" w:hAnsi="Google Sans" w:cs="Google Sans" w:eastAsia="Google Sans"/>
          <w:i/>
          <w:color w:val="auto"/>
          <w:spacing w:val="0"/>
          <w:position w:val="0"/>
          <w:sz w:val="24"/>
          <w:shd w:fill="auto" w:val="clear"/>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pPr>
        <w:spacing w:before="0" w:after="0" w:line="276"/>
        <w:ind w:right="0" w:left="0" w:firstLine="0"/>
        <w:jc w:val="left"/>
        <w:rPr>
          <w:rFonts w:ascii="Google Sans" w:hAnsi="Google Sans" w:cs="Google Sans" w:eastAsia="Google Sans"/>
          <w:i/>
          <w:color w:val="auto"/>
          <w:spacing w:val="0"/>
          <w:position w:val="0"/>
          <w:sz w:val="24"/>
          <w:shd w:fill="auto" w:val="clear"/>
        </w:rPr>
      </w:pPr>
    </w:p>
    <w:p>
      <w:pPr>
        <w:spacing w:before="0" w:after="0" w:line="276"/>
        <w:ind w:right="0" w:left="0" w:firstLine="0"/>
        <w:jc w:val="left"/>
        <w:rPr>
          <w:rFonts w:ascii="Google Sans" w:hAnsi="Google Sans" w:cs="Google Sans" w:eastAsia="Google Sans"/>
          <w:i/>
          <w:color w:val="auto"/>
          <w:spacing w:val="0"/>
          <w:position w:val="0"/>
          <w:sz w:val="24"/>
          <w:shd w:fill="auto" w:val="clear"/>
        </w:rPr>
      </w:pPr>
      <w:r>
        <w:rPr>
          <w:rFonts w:ascii="Google Sans" w:hAnsi="Google Sans" w:cs="Google Sans" w:eastAsia="Google Sans"/>
          <w:i/>
          <w:color w:val="auto"/>
          <w:spacing w:val="0"/>
          <w:position w:val="0"/>
          <w:sz w:val="24"/>
          <w:shd w:fill="auto" w:val="clear"/>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9">
    <w:abstractNumId w:val="24"/>
  </w:num>
  <w:num w:numId="40">
    <w:abstractNumId w:val="18"/>
  </w:num>
  <w:num w:numId="64">
    <w:abstractNumId w:val="12"/>
  </w:num>
  <w:num w:numId="85">
    <w:abstractNumId w:val="6"/>
  </w:num>
  <w:num w:numId="10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