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Risk Assessment Standard</w:t>
      </w:r>
    </w:p>
    <w:p>
      <w:r>
        <w:t>This document defines how vendor risk is assessed prior to production approval.</w:t>
      </w:r>
    </w:p>
    <w:p>
      <w:pPr>
        <w:pStyle w:val="Heading2"/>
      </w:pPr>
      <w:r>
        <w:t>Sub-processor Disclosure</w:t>
      </w:r>
    </w:p>
    <w:p>
      <w:r>
        <w:t>Any sub-processor engaged by the vendor must be disclosed in writing at least 15 business days prior to engagement.</w:t>
      </w:r>
    </w:p>
    <w:p>
      <w:pPr>
        <w:pStyle w:val="Heading2"/>
      </w:pPr>
      <w:r>
        <w:t>Escalation Trigger</w:t>
      </w:r>
    </w:p>
    <w:p>
      <w:r>
        <w:t>A Tier 1 vendor scoring below 70 on the most recent security assessment must be escalated to the Vendor Risk Committee before any production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