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Risk Assessment Standard</w:t>
      </w:r>
    </w:p>
    <w:p>
      <w:r>
        <w:t>This standard defines how NexusIQ classifies vendor risk prior to granting production access to any regulated data category.</w:t>
      </w:r>
    </w:p>
    <w:p>
      <w:pPr>
        <w:pStyle w:val="Heading2"/>
      </w:pPr>
      <w:r>
        <w:t>Risk Tier Classification</w:t>
      </w:r>
    </w:p>
    <w:p>
      <w:r>
        <w:t>Vendors are classified into three tiers based on the sensitivity of data they will process and the criticality of the service they provide.</w:t>
      </w:r>
    </w:p>
    <w:p>
      <w:pPr>
        <w:pStyle w:val="Heading2"/>
      </w:pPr>
      <w:r>
        <w:t>Tier 1 — Regulated Data</w:t>
      </w:r>
    </w:p>
    <w:p>
      <w:r>
        <w:t>Vendors processing regulated personal data (PII, PHI, or financial account data) are Tier 1. Tier 1 vendors require a security assessment score of at least 70 and quarterly reassessment.</w:t>
      </w:r>
    </w:p>
    <w:p>
      <w:pPr>
        <w:pStyle w:val="Heading2"/>
      </w:pPr>
      <w:r>
        <w:t>Tier 2 — Confidential Business Data</w:t>
      </w:r>
    </w:p>
    <w:p>
      <w:r>
        <w:t>Vendors processing confidential but non-regulated business data are Tier 2, reassessed semi-annually.</w:t>
      </w:r>
    </w:p>
    <w:p>
      <w:pPr>
        <w:pStyle w:val="Heading2"/>
      </w:pPr>
      <w:r>
        <w:t>Escalation Trigger</w:t>
      </w:r>
    </w:p>
    <w:p>
      <w:r>
        <w:t>A Tier 1 vendor scoring below 70 on the most recent security assessment must be escalated to the Vendor Risk Committee before any production approval is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