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BD5" w:rsidRPr="00AE5570" w:rsidRDefault="00AE5570" w:rsidP="00AE5570">
      <w:pPr>
        <w:pStyle w:val="ListParagraph"/>
        <w:numPr>
          <w:ilvl w:val="0"/>
          <w:numId w:val="1"/>
        </w:numPr>
        <w:jc w:val="both"/>
        <w:rPr>
          <w:rFonts w:ascii="Times New Roman" w:hAnsi="Times New Roman" w:cs="Times New Roman"/>
          <w:b/>
        </w:rPr>
      </w:pPr>
      <w:r w:rsidRPr="00AE5570">
        <w:rPr>
          <w:rFonts w:ascii="Times New Roman" w:hAnsi="Times New Roman" w:cs="Times New Roman"/>
          <w:b/>
        </w:rPr>
        <w:t>How to find factor scores?</w:t>
      </w:r>
    </w:p>
    <w:tbl>
      <w:tblPr>
        <w:tblStyle w:val="TableGrid"/>
        <w:tblpPr w:leftFromText="180" w:rightFromText="180" w:vertAnchor="page" w:horzAnchor="margin" w:tblpY="1897"/>
        <w:tblW w:w="0" w:type="auto"/>
        <w:tblLook w:val="04A0" w:firstRow="1" w:lastRow="0" w:firstColumn="1" w:lastColumn="0" w:noHBand="0" w:noVBand="1"/>
      </w:tblPr>
      <w:tblGrid>
        <w:gridCol w:w="3005"/>
        <w:gridCol w:w="3005"/>
        <w:gridCol w:w="3006"/>
      </w:tblGrid>
      <w:tr w:rsidR="00AE5570" w:rsidTr="00AE5570">
        <w:tc>
          <w:tcPr>
            <w:tcW w:w="3005" w:type="dxa"/>
            <w:shd w:val="clear" w:color="auto" w:fill="D9D9D9" w:themeFill="background1" w:themeFillShade="D9"/>
          </w:tcPr>
          <w:p w:rsidR="00AE5570" w:rsidRPr="00AE5570" w:rsidRDefault="00AE5570" w:rsidP="00AE5570">
            <w:pPr>
              <w:jc w:val="both"/>
              <w:rPr>
                <w:rFonts w:ascii="Times New Roman" w:hAnsi="Times New Roman" w:cs="Times New Roman"/>
                <w:b/>
              </w:rPr>
            </w:pPr>
            <w:r w:rsidRPr="00AE5570">
              <w:rPr>
                <w:rFonts w:ascii="Times New Roman" w:hAnsi="Times New Roman" w:cs="Times New Roman"/>
                <w:b/>
              </w:rPr>
              <w:t>Asset</w:t>
            </w:r>
          </w:p>
        </w:tc>
        <w:tc>
          <w:tcPr>
            <w:tcW w:w="3005" w:type="dxa"/>
            <w:shd w:val="clear" w:color="auto" w:fill="D9D9D9" w:themeFill="background1" w:themeFillShade="D9"/>
          </w:tcPr>
          <w:p w:rsidR="00AE5570" w:rsidRPr="00AE5570" w:rsidRDefault="00AE5570" w:rsidP="00AE5570">
            <w:pPr>
              <w:jc w:val="both"/>
              <w:rPr>
                <w:rFonts w:ascii="Times New Roman" w:hAnsi="Times New Roman" w:cs="Times New Roman"/>
                <w:b/>
              </w:rPr>
            </w:pPr>
            <w:r w:rsidRPr="00AE5570">
              <w:rPr>
                <w:rFonts w:ascii="Times New Roman" w:hAnsi="Times New Roman" w:cs="Times New Roman"/>
                <w:b/>
              </w:rPr>
              <w:t>Value (Price-to-Book or Book-to-Price)</w:t>
            </w:r>
          </w:p>
        </w:tc>
        <w:tc>
          <w:tcPr>
            <w:tcW w:w="3006" w:type="dxa"/>
            <w:shd w:val="clear" w:color="auto" w:fill="D9D9D9" w:themeFill="background1" w:themeFillShade="D9"/>
          </w:tcPr>
          <w:p w:rsidR="00AE5570" w:rsidRPr="00AE5570" w:rsidRDefault="00AE5570" w:rsidP="00AE5570">
            <w:pPr>
              <w:jc w:val="both"/>
              <w:rPr>
                <w:rFonts w:ascii="Times New Roman" w:hAnsi="Times New Roman" w:cs="Times New Roman"/>
                <w:b/>
              </w:rPr>
            </w:pPr>
            <w:r w:rsidRPr="00AE5570">
              <w:rPr>
                <w:rFonts w:ascii="Times New Roman" w:hAnsi="Times New Roman" w:cs="Times New Roman"/>
                <w:b/>
              </w:rPr>
              <w:t>Momentum</w:t>
            </w:r>
            <w:r>
              <w:rPr>
                <w:rFonts w:ascii="Times New Roman" w:hAnsi="Times New Roman" w:cs="Times New Roman"/>
                <w:b/>
              </w:rPr>
              <w:t xml:space="preserve"> (Return)</w:t>
            </w:r>
          </w:p>
        </w:tc>
      </w:tr>
      <w:tr w:rsidR="00AE5570" w:rsidTr="00AE5570">
        <w:tc>
          <w:tcPr>
            <w:tcW w:w="3005" w:type="dxa"/>
          </w:tcPr>
          <w:p w:rsidR="00AE5570" w:rsidRPr="00AE5570" w:rsidRDefault="00AE5570" w:rsidP="00AE5570">
            <w:pPr>
              <w:jc w:val="both"/>
              <w:rPr>
                <w:rFonts w:ascii="Times New Roman" w:hAnsi="Times New Roman" w:cs="Times New Roman"/>
                <w:vertAlign w:val="subscript"/>
              </w:rPr>
            </w:pPr>
            <w:r>
              <w:rPr>
                <w:rFonts w:ascii="Times New Roman" w:hAnsi="Times New Roman" w:cs="Times New Roman"/>
              </w:rPr>
              <w:t>X</w:t>
            </w:r>
            <w:r>
              <w:rPr>
                <w:rFonts w:ascii="Times New Roman" w:hAnsi="Times New Roman" w:cs="Times New Roman"/>
                <w:vertAlign w:val="subscript"/>
              </w:rPr>
              <w:t>1</w:t>
            </w:r>
          </w:p>
        </w:tc>
        <w:tc>
          <w:tcPr>
            <w:tcW w:w="3005" w:type="dxa"/>
          </w:tcPr>
          <w:p w:rsidR="00AE5570" w:rsidRPr="00AE5570" w:rsidRDefault="00AE5570" w:rsidP="00AE5570">
            <w:pPr>
              <w:jc w:val="both"/>
              <w:rPr>
                <w:rFonts w:ascii="Times New Roman" w:hAnsi="Times New Roman" w:cs="Times New Roman"/>
                <w:vertAlign w:val="subscript"/>
              </w:rPr>
            </w:pPr>
            <w:r>
              <w:rPr>
                <w:rFonts w:ascii="Times New Roman" w:hAnsi="Times New Roman" w:cs="Times New Roman"/>
              </w:rPr>
              <w:t>V</w:t>
            </w:r>
            <w:r>
              <w:rPr>
                <w:rFonts w:ascii="Times New Roman" w:hAnsi="Times New Roman" w:cs="Times New Roman"/>
                <w:vertAlign w:val="subscript"/>
              </w:rPr>
              <w:t>1</w:t>
            </w:r>
          </w:p>
        </w:tc>
        <w:tc>
          <w:tcPr>
            <w:tcW w:w="3006" w:type="dxa"/>
          </w:tcPr>
          <w:p w:rsidR="00AE5570" w:rsidRPr="00AE5570" w:rsidRDefault="00AE5570" w:rsidP="00AE5570">
            <w:pPr>
              <w:jc w:val="both"/>
              <w:rPr>
                <w:rFonts w:ascii="Times New Roman" w:hAnsi="Times New Roman" w:cs="Times New Roman"/>
                <w:vertAlign w:val="subscript"/>
              </w:rPr>
            </w:pPr>
            <w:r>
              <w:rPr>
                <w:rFonts w:ascii="Times New Roman" w:hAnsi="Times New Roman" w:cs="Times New Roman"/>
              </w:rPr>
              <w:t>M</w:t>
            </w:r>
            <w:r>
              <w:rPr>
                <w:rFonts w:ascii="Times New Roman" w:hAnsi="Times New Roman" w:cs="Times New Roman"/>
                <w:vertAlign w:val="subscript"/>
              </w:rPr>
              <w:t>1</w:t>
            </w:r>
          </w:p>
        </w:tc>
      </w:tr>
      <w:tr w:rsidR="00AE5570" w:rsidTr="00AE5570">
        <w:tc>
          <w:tcPr>
            <w:tcW w:w="3005" w:type="dxa"/>
          </w:tcPr>
          <w:p w:rsidR="00AE5570" w:rsidRPr="00AE5570" w:rsidRDefault="00AE5570" w:rsidP="00AE5570">
            <w:pPr>
              <w:jc w:val="both"/>
              <w:rPr>
                <w:rFonts w:ascii="Times New Roman" w:hAnsi="Times New Roman" w:cs="Times New Roman"/>
                <w:vertAlign w:val="subscript"/>
              </w:rPr>
            </w:pPr>
            <w:r>
              <w:rPr>
                <w:rFonts w:ascii="Times New Roman" w:hAnsi="Times New Roman" w:cs="Times New Roman"/>
              </w:rPr>
              <w:t>X</w:t>
            </w:r>
            <w:r>
              <w:rPr>
                <w:rFonts w:ascii="Times New Roman" w:hAnsi="Times New Roman" w:cs="Times New Roman"/>
                <w:vertAlign w:val="subscript"/>
              </w:rPr>
              <w:t>2</w:t>
            </w:r>
          </w:p>
        </w:tc>
        <w:tc>
          <w:tcPr>
            <w:tcW w:w="3005" w:type="dxa"/>
          </w:tcPr>
          <w:p w:rsidR="00AE5570" w:rsidRPr="00AE5570" w:rsidRDefault="00AE5570" w:rsidP="00AE5570">
            <w:pPr>
              <w:jc w:val="both"/>
              <w:rPr>
                <w:rFonts w:ascii="Times New Roman" w:hAnsi="Times New Roman" w:cs="Times New Roman"/>
                <w:vertAlign w:val="subscript"/>
              </w:rPr>
            </w:pPr>
            <w:r>
              <w:rPr>
                <w:rFonts w:ascii="Times New Roman" w:hAnsi="Times New Roman" w:cs="Times New Roman"/>
              </w:rPr>
              <w:t>V</w:t>
            </w:r>
            <w:r>
              <w:rPr>
                <w:rFonts w:ascii="Times New Roman" w:hAnsi="Times New Roman" w:cs="Times New Roman"/>
                <w:vertAlign w:val="subscript"/>
              </w:rPr>
              <w:t>2</w:t>
            </w:r>
          </w:p>
        </w:tc>
        <w:tc>
          <w:tcPr>
            <w:tcW w:w="3006" w:type="dxa"/>
          </w:tcPr>
          <w:p w:rsidR="00AE5570" w:rsidRPr="00AE5570" w:rsidRDefault="00AE5570" w:rsidP="00AE5570">
            <w:pPr>
              <w:jc w:val="both"/>
              <w:rPr>
                <w:rFonts w:ascii="Times New Roman" w:hAnsi="Times New Roman" w:cs="Times New Roman"/>
                <w:vertAlign w:val="subscript"/>
              </w:rPr>
            </w:pPr>
            <w:r>
              <w:rPr>
                <w:rFonts w:ascii="Times New Roman" w:hAnsi="Times New Roman" w:cs="Times New Roman"/>
              </w:rPr>
              <w:t>M</w:t>
            </w:r>
            <w:r>
              <w:rPr>
                <w:rFonts w:ascii="Times New Roman" w:hAnsi="Times New Roman" w:cs="Times New Roman"/>
                <w:vertAlign w:val="subscript"/>
              </w:rPr>
              <w:t>2</w:t>
            </w:r>
          </w:p>
        </w:tc>
      </w:tr>
      <w:tr w:rsidR="00AE5570" w:rsidTr="00AE5570">
        <w:tc>
          <w:tcPr>
            <w:tcW w:w="3005" w:type="dxa"/>
          </w:tcPr>
          <w:p w:rsidR="00AE5570" w:rsidRDefault="00AE5570" w:rsidP="00AE5570">
            <w:pPr>
              <w:jc w:val="both"/>
              <w:rPr>
                <w:rFonts w:ascii="Times New Roman" w:hAnsi="Times New Roman" w:cs="Times New Roman"/>
              </w:rPr>
            </w:pPr>
            <w:r>
              <w:rPr>
                <w:rFonts w:ascii="Times New Roman" w:hAnsi="Times New Roman" w:cs="Times New Roman"/>
              </w:rPr>
              <w:t>…</w:t>
            </w:r>
          </w:p>
        </w:tc>
        <w:tc>
          <w:tcPr>
            <w:tcW w:w="3005" w:type="dxa"/>
          </w:tcPr>
          <w:p w:rsidR="00AE5570" w:rsidRDefault="00AE5570" w:rsidP="00AE5570">
            <w:pPr>
              <w:jc w:val="both"/>
              <w:rPr>
                <w:rFonts w:ascii="Times New Roman" w:hAnsi="Times New Roman" w:cs="Times New Roman"/>
              </w:rPr>
            </w:pPr>
            <w:r>
              <w:rPr>
                <w:rFonts w:ascii="Times New Roman" w:hAnsi="Times New Roman" w:cs="Times New Roman"/>
              </w:rPr>
              <w:t>…</w:t>
            </w:r>
          </w:p>
        </w:tc>
        <w:tc>
          <w:tcPr>
            <w:tcW w:w="3006" w:type="dxa"/>
          </w:tcPr>
          <w:p w:rsidR="00AE5570" w:rsidRDefault="00AE5570" w:rsidP="00AE5570">
            <w:pPr>
              <w:jc w:val="both"/>
              <w:rPr>
                <w:rFonts w:ascii="Times New Roman" w:hAnsi="Times New Roman" w:cs="Times New Roman"/>
              </w:rPr>
            </w:pPr>
            <w:r>
              <w:rPr>
                <w:rFonts w:ascii="Times New Roman" w:hAnsi="Times New Roman" w:cs="Times New Roman"/>
              </w:rPr>
              <w:t>…</w:t>
            </w:r>
          </w:p>
        </w:tc>
      </w:tr>
      <w:tr w:rsidR="00AE5570" w:rsidTr="00AE5570">
        <w:tc>
          <w:tcPr>
            <w:tcW w:w="3005" w:type="dxa"/>
          </w:tcPr>
          <w:p w:rsidR="00AE5570" w:rsidRPr="00AE5570" w:rsidRDefault="00AE5570" w:rsidP="00AE5570">
            <w:pPr>
              <w:jc w:val="both"/>
              <w:rPr>
                <w:rFonts w:ascii="Times New Roman" w:hAnsi="Times New Roman" w:cs="Times New Roman"/>
                <w:vertAlign w:val="subscript"/>
              </w:rPr>
            </w:pPr>
            <w:proofErr w:type="spellStart"/>
            <w:r>
              <w:rPr>
                <w:rFonts w:ascii="Times New Roman" w:hAnsi="Times New Roman" w:cs="Times New Roman"/>
              </w:rPr>
              <w:t>X</w:t>
            </w:r>
            <w:r>
              <w:rPr>
                <w:rFonts w:ascii="Times New Roman" w:hAnsi="Times New Roman" w:cs="Times New Roman"/>
                <w:vertAlign w:val="subscript"/>
              </w:rPr>
              <w:t>n</w:t>
            </w:r>
            <w:proofErr w:type="spellEnd"/>
          </w:p>
        </w:tc>
        <w:tc>
          <w:tcPr>
            <w:tcW w:w="3005" w:type="dxa"/>
          </w:tcPr>
          <w:p w:rsidR="00AE5570" w:rsidRPr="00AE5570" w:rsidRDefault="00AE5570" w:rsidP="00AE5570">
            <w:pPr>
              <w:jc w:val="both"/>
              <w:rPr>
                <w:rFonts w:ascii="Times New Roman" w:hAnsi="Times New Roman" w:cs="Times New Roman"/>
                <w:vertAlign w:val="subscript"/>
              </w:rPr>
            </w:pPr>
            <w:proofErr w:type="spellStart"/>
            <w:r>
              <w:rPr>
                <w:rFonts w:ascii="Times New Roman" w:hAnsi="Times New Roman" w:cs="Times New Roman"/>
              </w:rPr>
              <w:t>V</w:t>
            </w:r>
            <w:r>
              <w:rPr>
                <w:rFonts w:ascii="Times New Roman" w:hAnsi="Times New Roman" w:cs="Times New Roman"/>
                <w:vertAlign w:val="subscript"/>
              </w:rPr>
              <w:t>n</w:t>
            </w:r>
            <w:proofErr w:type="spellEnd"/>
          </w:p>
        </w:tc>
        <w:tc>
          <w:tcPr>
            <w:tcW w:w="3006" w:type="dxa"/>
          </w:tcPr>
          <w:p w:rsidR="00AE5570" w:rsidRPr="00AE5570" w:rsidRDefault="00AE5570" w:rsidP="00AE5570">
            <w:pPr>
              <w:jc w:val="both"/>
              <w:rPr>
                <w:rFonts w:ascii="Times New Roman" w:hAnsi="Times New Roman" w:cs="Times New Roman"/>
                <w:vertAlign w:val="subscript"/>
              </w:rPr>
            </w:pPr>
            <w:r>
              <w:rPr>
                <w:rFonts w:ascii="Times New Roman" w:hAnsi="Times New Roman" w:cs="Times New Roman"/>
              </w:rPr>
              <w:t>M</w:t>
            </w:r>
            <w:r>
              <w:rPr>
                <w:rFonts w:ascii="Times New Roman" w:hAnsi="Times New Roman" w:cs="Times New Roman"/>
                <w:vertAlign w:val="subscript"/>
              </w:rPr>
              <w:t>3</w:t>
            </w:r>
          </w:p>
        </w:tc>
      </w:tr>
    </w:tbl>
    <w:p w:rsidR="00AE5570" w:rsidRDefault="00AE5570" w:rsidP="00AE5570">
      <w:pPr>
        <w:jc w:val="both"/>
        <w:rPr>
          <w:rFonts w:ascii="Times New Roman" w:hAnsi="Times New Roman" w:cs="Times New Roman"/>
        </w:rPr>
      </w:pPr>
    </w:p>
    <w:p w:rsidR="00AE5570" w:rsidRDefault="00AE5570" w:rsidP="00AE5570">
      <w:pPr>
        <w:pStyle w:val="ListParagraph"/>
        <w:numPr>
          <w:ilvl w:val="0"/>
          <w:numId w:val="2"/>
        </w:numPr>
        <w:jc w:val="both"/>
        <w:rPr>
          <w:rFonts w:ascii="Times New Roman" w:hAnsi="Times New Roman" w:cs="Times New Roman"/>
        </w:rPr>
      </w:pPr>
      <w:r>
        <w:rPr>
          <w:rFonts w:ascii="Times New Roman" w:hAnsi="Times New Roman" w:cs="Times New Roman"/>
        </w:rPr>
        <w:t>Find the mean and standard deviation of the individual factor figures (e.g. Value: Price-to-book and Momentum: Returns)</w:t>
      </w:r>
    </w:p>
    <w:p w:rsidR="00AE5570" w:rsidRDefault="00AE5570" w:rsidP="00AE5570">
      <w:pPr>
        <w:pStyle w:val="ListParagraph"/>
        <w:numPr>
          <w:ilvl w:val="0"/>
          <w:numId w:val="2"/>
        </w:numPr>
        <w:jc w:val="both"/>
        <w:rPr>
          <w:rFonts w:ascii="Times New Roman" w:hAnsi="Times New Roman" w:cs="Times New Roman"/>
        </w:rPr>
      </w:pPr>
      <w:r>
        <w:rPr>
          <w:rFonts w:ascii="Times New Roman" w:hAnsi="Times New Roman" w:cs="Times New Roman"/>
        </w:rPr>
        <w:t xml:space="preserve">Compute z-score, i.e. Z = (X-u)/sigma ~ </w:t>
      </w:r>
      <w:proofErr w:type="gramStart"/>
      <w:r>
        <w:rPr>
          <w:rFonts w:ascii="Times New Roman" w:hAnsi="Times New Roman" w:cs="Times New Roman"/>
        </w:rPr>
        <w:t>N(</w:t>
      </w:r>
      <w:proofErr w:type="gramEnd"/>
      <w:r>
        <w:rPr>
          <w:rFonts w:ascii="Times New Roman" w:hAnsi="Times New Roman" w:cs="Times New Roman"/>
        </w:rPr>
        <w:t>0,1)</w:t>
      </w:r>
    </w:p>
    <w:p w:rsidR="00AE5570" w:rsidRDefault="00AE5570" w:rsidP="00AE5570">
      <w:pPr>
        <w:pStyle w:val="ListParagraph"/>
        <w:numPr>
          <w:ilvl w:val="0"/>
          <w:numId w:val="2"/>
        </w:numPr>
        <w:jc w:val="both"/>
        <w:rPr>
          <w:rFonts w:ascii="Times New Roman" w:hAnsi="Times New Roman" w:cs="Times New Roman"/>
        </w:rPr>
      </w:pPr>
      <w:r>
        <w:rPr>
          <w:rFonts w:ascii="Times New Roman" w:hAnsi="Times New Roman" w:cs="Times New Roman"/>
        </w:rPr>
        <w:t>Assign the z-score to the factor score for each asset (X</w:t>
      </w:r>
      <w:r>
        <w:rPr>
          <w:rFonts w:ascii="Times New Roman" w:hAnsi="Times New Roman" w:cs="Times New Roman"/>
          <w:vertAlign w:val="subscript"/>
        </w:rPr>
        <w:t>1</w:t>
      </w:r>
      <w:r>
        <w:rPr>
          <w:rFonts w:ascii="Times New Roman" w:hAnsi="Times New Roman" w:cs="Times New Roman"/>
        </w:rPr>
        <w:t>, X</w:t>
      </w:r>
      <w:r>
        <w:rPr>
          <w:rFonts w:ascii="Times New Roman" w:hAnsi="Times New Roman" w:cs="Times New Roman"/>
          <w:vertAlign w:val="subscript"/>
        </w:rPr>
        <w:t>2</w:t>
      </w:r>
      <w:r>
        <w:rPr>
          <w:rFonts w:ascii="Times New Roman" w:hAnsi="Times New Roman" w:cs="Times New Roman"/>
        </w:rPr>
        <w:t xml:space="preserve">, … </w:t>
      </w:r>
      <w:proofErr w:type="spellStart"/>
      <w:r>
        <w:rPr>
          <w:rFonts w:ascii="Times New Roman" w:hAnsi="Times New Roman" w:cs="Times New Roman"/>
        </w:rPr>
        <w:t>X</w:t>
      </w:r>
      <w:r>
        <w:rPr>
          <w:rFonts w:ascii="Times New Roman" w:hAnsi="Times New Roman" w:cs="Times New Roman"/>
          <w:vertAlign w:val="subscript"/>
        </w:rPr>
        <w:t>n</w:t>
      </w:r>
      <w:proofErr w:type="spellEnd"/>
      <w:r>
        <w:rPr>
          <w:rFonts w:ascii="Times New Roman" w:hAnsi="Times New Roman" w:cs="Times New Roman"/>
        </w:rPr>
        <w:t>)</w:t>
      </w:r>
    </w:p>
    <w:p w:rsidR="00AE5570" w:rsidRDefault="00AE5570" w:rsidP="000B2215">
      <w:pPr>
        <w:jc w:val="both"/>
        <w:rPr>
          <w:rFonts w:ascii="Times New Roman" w:hAnsi="Times New Roman" w:cs="Times New Roman"/>
        </w:rPr>
      </w:pPr>
    </w:p>
    <w:p w:rsidR="000B2215" w:rsidRDefault="000B2215" w:rsidP="000B2215">
      <w:pPr>
        <w:pStyle w:val="ListParagraph"/>
        <w:numPr>
          <w:ilvl w:val="0"/>
          <w:numId w:val="1"/>
        </w:numPr>
        <w:jc w:val="both"/>
        <w:rPr>
          <w:rFonts w:ascii="Times New Roman" w:hAnsi="Times New Roman" w:cs="Times New Roman"/>
          <w:b/>
        </w:rPr>
      </w:pPr>
      <w:r>
        <w:rPr>
          <w:rFonts w:ascii="Times New Roman" w:hAnsi="Times New Roman" w:cs="Times New Roman"/>
          <w:b/>
        </w:rPr>
        <w:t>Additional Controversial Weapons Lists that could be considered</w:t>
      </w:r>
    </w:p>
    <w:p w:rsidR="000B2215" w:rsidRDefault="000B2215" w:rsidP="000B2215">
      <w:pPr>
        <w:pStyle w:val="ListParagraph"/>
        <w:numPr>
          <w:ilvl w:val="0"/>
          <w:numId w:val="3"/>
        </w:numPr>
        <w:jc w:val="both"/>
        <w:rPr>
          <w:rFonts w:ascii="Times New Roman" w:hAnsi="Times New Roman" w:cs="Times New Roman"/>
        </w:rPr>
      </w:pPr>
      <w:r>
        <w:rPr>
          <w:rFonts w:ascii="Times New Roman" w:hAnsi="Times New Roman" w:cs="Times New Roman"/>
        </w:rPr>
        <w:t xml:space="preserve">ISS </w:t>
      </w:r>
      <w:proofErr w:type="spellStart"/>
      <w:r>
        <w:rPr>
          <w:rFonts w:ascii="Times New Roman" w:hAnsi="Times New Roman" w:cs="Times New Roman"/>
        </w:rPr>
        <w:t>Ethix</w:t>
      </w:r>
      <w:proofErr w:type="spellEnd"/>
    </w:p>
    <w:p w:rsidR="000B2215" w:rsidRDefault="000B2215" w:rsidP="000B2215">
      <w:pPr>
        <w:pStyle w:val="ListParagraph"/>
        <w:numPr>
          <w:ilvl w:val="0"/>
          <w:numId w:val="3"/>
        </w:numPr>
        <w:jc w:val="both"/>
        <w:rPr>
          <w:rFonts w:ascii="Times New Roman" w:hAnsi="Times New Roman" w:cs="Times New Roman"/>
        </w:rPr>
      </w:pPr>
      <w:r>
        <w:rPr>
          <w:rFonts w:ascii="Times New Roman" w:hAnsi="Times New Roman" w:cs="Times New Roman"/>
        </w:rPr>
        <w:t>Listed companies excluded by ABN_AMRO (5 out of 19 companies are covered in NBIM exclusion list)</w:t>
      </w:r>
    </w:p>
    <w:p w:rsidR="000B2215" w:rsidRDefault="000B2215" w:rsidP="000B2215">
      <w:pPr>
        <w:pStyle w:val="ListParagraph"/>
        <w:numPr>
          <w:ilvl w:val="0"/>
          <w:numId w:val="3"/>
        </w:numPr>
        <w:jc w:val="both"/>
        <w:rPr>
          <w:rFonts w:ascii="Times New Roman" w:hAnsi="Times New Roman" w:cs="Times New Roman"/>
        </w:rPr>
      </w:pPr>
      <w:r>
        <w:rPr>
          <w:rFonts w:ascii="Times New Roman" w:hAnsi="Times New Roman" w:cs="Times New Roman"/>
        </w:rPr>
        <w:t>Nordea</w:t>
      </w:r>
    </w:p>
    <w:p w:rsidR="000B2215" w:rsidRPr="000B2215" w:rsidRDefault="000B2215" w:rsidP="000B2215">
      <w:pPr>
        <w:pStyle w:val="ListParagraph"/>
        <w:jc w:val="both"/>
        <w:rPr>
          <w:rFonts w:ascii="Times New Roman" w:hAnsi="Times New Roman" w:cs="Times New Roman"/>
        </w:rPr>
      </w:pPr>
    </w:p>
    <w:p w:rsidR="000B2215" w:rsidRDefault="006F5983" w:rsidP="000B2215">
      <w:pPr>
        <w:pStyle w:val="ListParagraph"/>
        <w:numPr>
          <w:ilvl w:val="0"/>
          <w:numId w:val="1"/>
        </w:numPr>
        <w:jc w:val="both"/>
        <w:rPr>
          <w:rFonts w:ascii="Times New Roman" w:hAnsi="Times New Roman" w:cs="Times New Roman"/>
          <w:b/>
        </w:rPr>
      </w:pPr>
      <w:r>
        <w:rPr>
          <w:rFonts w:ascii="Times New Roman" w:hAnsi="Times New Roman" w:cs="Times New Roman"/>
          <w:b/>
        </w:rPr>
        <w:t>Difficulties in</w:t>
      </w:r>
      <w:r w:rsidR="000B2215">
        <w:rPr>
          <w:rFonts w:ascii="Times New Roman" w:hAnsi="Times New Roman" w:cs="Times New Roman"/>
          <w:b/>
        </w:rPr>
        <w:t xml:space="preserve"> the</w:t>
      </w:r>
      <w:r>
        <w:rPr>
          <w:rFonts w:ascii="Times New Roman" w:hAnsi="Times New Roman" w:cs="Times New Roman"/>
          <w:b/>
        </w:rPr>
        <w:t xml:space="preserve"> implementation</w:t>
      </w:r>
      <w:r w:rsidR="000B2215">
        <w:rPr>
          <w:rFonts w:ascii="Times New Roman" w:hAnsi="Times New Roman" w:cs="Times New Roman"/>
          <w:b/>
        </w:rPr>
        <w:t xml:space="preserve"> of ESG </w:t>
      </w:r>
      <w:r>
        <w:rPr>
          <w:rFonts w:ascii="Times New Roman" w:hAnsi="Times New Roman" w:cs="Times New Roman"/>
          <w:b/>
        </w:rPr>
        <w:t>scores</w:t>
      </w:r>
    </w:p>
    <w:p w:rsidR="000B2215" w:rsidRDefault="000B2215" w:rsidP="000B2215">
      <w:pPr>
        <w:jc w:val="both"/>
        <w:rPr>
          <w:rFonts w:ascii="Times New Roman" w:hAnsi="Times New Roman" w:cs="Times New Roman"/>
        </w:rPr>
      </w:pPr>
      <w:r>
        <w:rPr>
          <w:rFonts w:ascii="Times New Roman" w:hAnsi="Times New Roman" w:cs="Times New Roman"/>
        </w:rPr>
        <w:t>Traditional indices typically sort the universe using companies’ ESG scores (can be internally computed or provided by external data vendors), eliminating those with the worst rankings, and cap-weighting the remainder to avoid a small-cap bias.</w:t>
      </w:r>
      <w:r w:rsidR="006F5983">
        <w:rPr>
          <w:rFonts w:ascii="Times New Roman" w:hAnsi="Times New Roman" w:cs="Times New Roman"/>
        </w:rPr>
        <w:t xml:space="preserve"> However, for ESG scores to be computed, a few conditions need to be met:</w:t>
      </w:r>
    </w:p>
    <w:p w:rsidR="000B2215" w:rsidRPr="006F5983" w:rsidRDefault="002A20F1" w:rsidP="006F5983">
      <w:pPr>
        <w:pStyle w:val="ListParagraph"/>
        <w:numPr>
          <w:ilvl w:val="0"/>
          <w:numId w:val="4"/>
        </w:numPr>
        <w:jc w:val="both"/>
        <w:rPr>
          <w:rFonts w:ascii="Times New Roman" w:hAnsi="Times New Roman" w:cs="Times New Roman"/>
        </w:rPr>
      </w:pPr>
      <w:r>
        <w:rPr>
          <w:rFonts w:ascii="Times New Roman" w:hAnsi="Times New Roman" w:cs="Times New Roman"/>
        </w:rPr>
        <w:t>Limited a</w:t>
      </w:r>
      <w:r w:rsidR="006F5983">
        <w:rPr>
          <w:rFonts w:ascii="Times New Roman" w:hAnsi="Times New Roman" w:cs="Times New Roman"/>
        </w:rPr>
        <w:t xml:space="preserve">vailability of company disclosures on ESG matters – Attitude towards ESG matters vary across companies. Notwithstanding this, </w:t>
      </w:r>
      <w:r>
        <w:rPr>
          <w:rFonts w:ascii="Times New Roman" w:hAnsi="Times New Roman" w:cs="Times New Roman"/>
        </w:rPr>
        <w:t xml:space="preserve">we also see that larger companies have better ESG ratings </w:t>
      </w:r>
      <w:r w:rsidR="006F5983">
        <w:rPr>
          <w:rFonts w:ascii="Times New Roman" w:hAnsi="Times New Roman" w:cs="Times New Roman"/>
        </w:rPr>
        <w:t>because they</w:t>
      </w:r>
      <w:r w:rsidR="006F5983" w:rsidRPr="006F5983">
        <w:rPr>
          <w:rFonts w:ascii="Times New Roman" w:hAnsi="Times New Roman" w:cs="Times New Roman"/>
        </w:rPr>
        <w:t xml:space="preserve"> have the resources to measure and disclose ESG data or they are under pressure and scrutiny from regulators and investors.</w:t>
      </w:r>
      <w:r>
        <w:rPr>
          <w:rFonts w:ascii="Times New Roman" w:hAnsi="Times New Roman" w:cs="Times New Roman"/>
        </w:rPr>
        <w:t xml:space="preserve"> This inevitably creates overexposure to larger companies, i.e. no diversification of small to mid-cap companies.</w:t>
      </w:r>
    </w:p>
    <w:p w:rsidR="006F5983" w:rsidRDefault="002A20F1" w:rsidP="000B2215">
      <w:pPr>
        <w:pStyle w:val="ListParagraph"/>
        <w:numPr>
          <w:ilvl w:val="0"/>
          <w:numId w:val="4"/>
        </w:numPr>
        <w:jc w:val="both"/>
        <w:rPr>
          <w:rFonts w:ascii="Times New Roman" w:hAnsi="Times New Roman" w:cs="Times New Roman"/>
        </w:rPr>
      </w:pPr>
      <w:r>
        <w:rPr>
          <w:rFonts w:ascii="Times New Roman" w:hAnsi="Times New Roman" w:cs="Times New Roman"/>
        </w:rPr>
        <w:t xml:space="preserve">ESG scores are inconsistent across external data vendors of ESG ratings, e.g. MSCI, </w:t>
      </w:r>
      <w:proofErr w:type="spellStart"/>
      <w:r>
        <w:rPr>
          <w:rFonts w:ascii="Times New Roman" w:hAnsi="Times New Roman" w:cs="Times New Roman"/>
        </w:rPr>
        <w:t>Sustainalytics</w:t>
      </w:r>
      <w:proofErr w:type="spellEnd"/>
      <w:r>
        <w:rPr>
          <w:rFonts w:ascii="Times New Roman" w:hAnsi="Times New Roman" w:cs="Times New Roman"/>
        </w:rPr>
        <w:t xml:space="preserve"> and Thomson Reuters. Each provider might have different definitions of what strong ESG means, e.g. some companies may weigh ‘Environmental’ more important than ‘Social’ and ‘Governance’ </w:t>
      </w:r>
    </w:p>
    <w:p w:rsidR="000B2215" w:rsidRDefault="002A20F1" w:rsidP="000B2215">
      <w:pPr>
        <w:pStyle w:val="ListParagraph"/>
        <w:numPr>
          <w:ilvl w:val="0"/>
          <w:numId w:val="4"/>
        </w:numPr>
        <w:jc w:val="both"/>
        <w:rPr>
          <w:rFonts w:ascii="Times New Roman" w:hAnsi="Times New Roman" w:cs="Times New Roman"/>
        </w:rPr>
      </w:pPr>
      <w:r>
        <w:rPr>
          <w:rFonts w:ascii="Times New Roman" w:hAnsi="Times New Roman" w:cs="Times New Roman"/>
        </w:rPr>
        <w:t>Subjectivity of ESG benchmark – It is difficult to gauge an ethical benchmark and it is even more difficult with an ESG benchmark.</w:t>
      </w:r>
    </w:p>
    <w:p w:rsidR="002A20F1" w:rsidRPr="000B2215" w:rsidRDefault="002A20F1" w:rsidP="002A20F1">
      <w:pPr>
        <w:pStyle w:val="ListParagraph"/>
        <w:jc w:val="both"/>
        <w:rPr>
          <w:rFonts w:ascii="Times New Roman" w:hAnsi="Times New Roman" w:cs="Times New Roman"/>
        </w:rPr>
      </w:pPr>
    </w:p>
    <w:p w:rsidR="000B2215" w:rsidRDefault="002A20F1" w:rsidP="000B2215">
      <w:pPr>
        <w:pStyle w:val="ListParagraph"/>
        <w:numPr>
          <w:ilvl w:val="0"/>
          <w:numId w:val="1"/>
        </w:numPr>
        <w:jc w:val="both"/>
        <w:rPr>
          <w:rFonts w:ascii="Times New Roman" w:hAnsi="Times New Roman" w:cs="Times New Roman"/>
          <w:b/>
        </w:rPr>
      </w:pPr>
      <w:r>
        <w:rPr>
          <w:rFonts w:ascii="Times New Roman" w:hAnsi="Times New Roman" w:cs="Times New Roman"/>
          <w:b/>
        </w:rPr>
        <w:t>Common practices among index providers to handle ESG demands</w:t>
      </w:r>
    </w:p>
    <w:p w:rsidR="002A20F1" w:rsidRDefault="002A20F1" w:rsidP="002A20F1">
      <w:pPr>
        <w:jc w:val="both"/>
        <w:rPr>
          <w:rFonts w:ascii="Times New Roman" w:hAnsi="Times New Roman" w:cs="Times New Roman"/>
        </w:rPr>
      </w:pPr>
      <w:r>
        <w:rPr>
          <w:rFonts w:ascii="Times New Roman" w:hAnsi="Times New Roman" w:cs="Times New Roman"/>
        </w:rPr>
        <w:t>While it is a common approach to rely on ESG scores to weigh stocks, it does not make sense from financial standpoint. Adding ESG score weighting reduces control over exposure to rewarded factors and greatly increases robustness risks.</w:t>
      </w:r>
    </w:p>
    <w:p w:rsidR="00D302B6" w:rsidRDefault="00D302B6" w:rsidP="00D302B6">
      <w:pPr>
        <w:pStyle w:val="ListParagraph"/>
        <w:numPr>
          <w:ilvl w:val="0"/>
          <w:numId w:val="5"/>
        </w:numPr>
        <w:jc w:val="both"/>
        <w:rPr>
          <w:rFonts w:ascii="Times New Roman" w:hAnsi="Times New Roman" w:cs="Times New Roman"/>
        </w:rPr>
      </w:pPr>
      <w:r>
        <w:rPr>
          <w:rFonts w:ascii="Times New Roman" w:hAnsi="Times New Roman" w:cs="Times New Roman"/>
        </w:rPr>
        <w:t>Scientific Beta uses the ERAF framework for positive screening of stock universe:</w:t>
      </w:r>
    </w:p>
    <w:p w:rsidR="00D302B6" w:rsidRDefault="00D302B6" w:rsidP="00D302B6">
      <w:pPr>
        <w:pStyle w:val="ListParagraph"/>
        <w:numPr>
          <w:ilvl w:val="1"/>
          <w:numId w:val="5"/>
        </w:numPr>
        <w:jc w:val="both"/>
        <w:rPr>
          <w:rFonts w:ascii="Times New Roman" w:hAnsi="Times New Roman" w:cs="Times New Roman"/>
        </w:rPr>
      </w:pPr>
      <w:r>
        <w:rPr>
          <w:rFonts w:ascii="Times New Roman" w:hAnsi="Times New Roman" w:cs="Times New Roman"/>
        </w:rPr>
        <w:t>Exclusion of companies with extremely low scores on any value</w:t>
      </w:r>
    </w:p>
    <w:p w:rsidR="00D302B6" w:rsidRDefault="00D302B6" w:rsidP="00D302B6">
      <w:pPr>
        <w:pStyle w:val="ListParagraph"/>
        <w:numPr>
          <w:ilvl w:val="1"/>
          <w:numId w:val="5"/>
        </w:numPr>
        <w:jc w:val="both"/>
        <w:rPr>
          <w:rFonts w:ascii="Times New Roman" w:hAnsi="Times New Roman" w:cs="Times New Roman"/>
        </w:rPr>
      </w:pPr>
      <w:r>
        <w:rPr>
          <w:rFonts w:ascii="Times New Roman" w:hAnsi="Times New Roman" w:cs="Times New Roman"/>
        </w:rPr>
        <w:t>Exclusion of companies that lag by overall ESG score</w:t>
      </w:r>
    </w:p>
    <w:p w:rsidR="00D302B6" w:rsidRPr="00D302B6" w:rsidRDefault="00D302B6" w:rsidP="00D302B6">
      <w:pPr>
        <w:ind w:left="720"/>
        <w:jc w:val="both"/>
        <w:rPr>
          <w:rFonts w:ascii="Times New Roman" w:hAnsi="Times New Roman" w:cs="Times New Roman"/>
        </w:rPr>
      </w:pPr>
      <w:r>
        <w:rPr>
          <w:rFonts w:ascii="Times New Roman" w:hAnsi="Times New Roman" w:cs="Times New Roman"/>
        </w:rPr>
        <w:t xml:space="preserve">Currently, Scientific Beta wishes to apply the ESG scores obtained in the positive screening process by excluding companies that score below one-third of their sector average on any value </w:t>
      </w:r>
      <w:r>
        <w:rPr>
          <w:rFonts w:ascii="Times New Roman" w:hAnsi="Times New Roman" w:cs="Times New Roman"/>
        </w:rPr>
        <w:lastRenderedPageBreak/>
        <w:t xml:space="preserve">or in the lowest quantile. However, this threshold is still ambitious in maintaining a high degree of diversification. </w:t>
      </w:r>
    </w:p>
    <w:p w:rsidR="00D302B6" w:rsidRDefault="00D302B6" w:rsidP="00D302B6">
      <w:pPr>
        <w:pStyle w:val="ListParagraph"/>
        <w:numPr>
          <w:ilvl w:val="0"/>
          <w:numId w:val="5"/>
        </w:numPr>
        <w:jc w:val="both"/>
        <w:rPr>
          <w:rFonts w:ascii="Times New Roman" w:hAnsi="Times New Roman" w:cs="Times New Roman"/>
        </w:rPr>
      </w:pPr>
      <w:r>
        <w:rPr>
          <w:rFonts w:ascii="Times New Roman" w:hAnsi="Times New Roman" w:cs="Times New Roman"/>
        </w:rPr>
        <w:t>Morning Star Sustainability Index – Work out ESG scores based on corporate practices and controversies and select stocks in priority order until they reach 50% coverage by float-adjusted market capitalisation of parent index</w:t>
      </w:r>
    </w:p>
    <w:p w:rsidR="00D302B6" w:rsidRDefault="00D302B6" w:rsidP="00D302B6">
      <w:pPr>
        <w:pStyle w:val="ListParagraph"/>
        <w:numPr>
          <w:ilvl w:val="0"/>
          <w:numId w:val="5"/>
        </w:numPr>
        <w:jc w:val="both"/>
        <w:rPr>
          <w:rFonts w:ascii="Times New Roman" w:hAnsi="Times New Roman" w:cs="Times New Roman"/>
        </w:rPr>
      </w:pPr>
      <w:r>
        <w:rPr>
          <w:rFonts w:ascii="Times New Roman" w:hAnsi="Times New Roman" w:cs="Times New Roman"/>
        </w:rPr>
        <w:t>FTSE ESG Index also works out ESG scores based on themes (</w:t>
      </w:r>
      <w:proofErr w:type="gramStart"/>
      <w:r>
        <w:rPr>
          <w:rFonts w:ascii="Times New Roman" w:hAnsi="Times New Roman" w:cs="Times New Roman"/>
        </w:rPr>
        <w:t>similar to</w:t>
      </w:r>
      <w:proofErr w:type="gramEnd"/>
      <w:r>
        <w:rPr>
          <w:rFonts w:ascii="Times New Roman" w:hAnsi="Times New Roman" w:cs="Times New Roman"/>
        </w:rPr>
        <w:t xml:space="preserve"> Scientific Beta’s ERAF). The scores are then normalized and used to compute tilt.</w:t>
      </w:r>
    </w:p>
    <w:p w:rsidR="00D302B6" w:rsidRDefault="00D302B6" w:rsidP="00D302B6">
      <w:pPr>
        <w:pStyle w:val="ListParagraph"/>
        <w:jc w:val="both"/>
        <w:rPr>
          <w:rFonts w:ascii="Times New Roman" w:hAnsi="Times New Roman" w:cs="Times New Roman"/>
        </w:rPr>
      </w:pPr>
    </w:p>
    <w:p w:rsidR="00D302B6" w:rsidRDefault="00D302B6" w:rsidP="00D302B6">
      <w:pPr>
        <w:pStyle w:val="ListParagraph"/>
        <w:numPr>
          <w:ilvl w:val="0"/>
          <w:numId w:val="1"/>
        </w:numPr>
        <w:jc w:val="both"/>
        <w:rPr>
          <w:rFonts w:ascii="Times New Roman" w:hAnsi="Times New Roman" w:cs="Times New Roman"/>
          <w:b/>
        </w:rPr>
      </w:pPr>
      <w:r>
        <w:rPr>
          <w:rFonts w:ascii="Times New Roman" w:hAnsi="Times New Roman" w:cs="Times New Roman"/>
          <w:b/>
        </w:rPr>
        <w:t>Council of Institutional Investors</w:t>
      </w:r>
    </w:p>
    <w:p w:rsidR="00D302B6" w:rsidRPr="00D302B6" w:rsidRDefault="00D302B6" w:rsidP="00D302B6">
      <w:pPr>
        <w:pStyle w:val="ListParagraph"/>
        <w:numPr>
          <w:ilvl w:val="0"/>
          <w:numId w:val="6"/>
        </w:numPr>
        <w:jc w:val="both"/>
        <w:rPr>
          <w:rFonts w:ascii="Times New Roman" w:hAnsi="Times New Roman" w:cs="Times New Roman"/>
          <w:b/>
        </w:rPr>
      </w:pPr>
      <w:r>
        <w:rPr>
          <w:rFonts w:ascii="Times New Roman" w:hAnsi="Times New Roman" w:cs="Times New Roman"/>
        </w:rPr>
        <w:t xml:space="preserve">Support inclusion of unequal voting shares on an </w:t>
      </w:r>
      <w:r w:rsidRPr="00D302B6">
        <w:rPr>
          <w:rFonts w:ascii="Times New Roman" w:hAnsi="Times New Roman" w:cs="Times New Roman"/>
          <w:u w:val="single"/>
        </w:rPr>
        <w:t>underweighted basis</w:t>
      </w:r>
      <w:r>
        <w:rPr>
          <w:rFonts w:ascii="Times New Roman" w:hAnsi="Times New Roman" w:cs="Times New Roman"/>
        </w:rPr>
        <w:t xml:space="preserve"> (as proposed by MSCI), since they are still </w:t>
      </w:r>
      <w:proofErr w:type="gramStart"/>
      <w:r>
        <w:rPr>
          <w:rFonts w:ascii="Times New Roman" w:hAnsi="Times New Roman" w:cs="Times New Roman"/>
        </w:rPr>
        <w:t>equity by definition</w:t>
      </w:r>
      <w:proofErr w:type="gramEnd"/>
      <w:r>
        <w:rPr>
          <w:rFonts w:ascii="Times New Roman" w:hAnsi="Times New Roman" w:cs="Times New Roman"/>
        </w:rPr>
        <w:t>.</w:t>
      </w:r>
    </w:p>
    <w:p w:rsidR="00D302B6" w:rsidRPr="001B723B" w:rsidRDefault="00D302B6" w:rsidP="00D302B6">
      <w:pPr>
        <w:pStyle w:val="ListParagraph"/>
        <w:numPr>
          <w:ilvl w:val="0"/>
          <w:numId w:val="6"/>
        </w:numPr>
        <w:jc w:val="both"/>
        <w:rPr>
          <w:rFonts w:ascii="Times New Roman" w:hAnsi="Times New Roman" w:cs="Times New Roman"/>
          <w:b/>
        </w:rPr>
      </w:pPr>
      <w:r>
        <w:rPr>
          <w:rFonts w:ascii="Times New Roman" w:hAnsi="Times New Roman" w:cs="Times New Roman"/>
        </w:rPr>
        <w:t>It is appropriate to delete secu</w:t>
      </w:r>
      <w:r w:rsidR="001B723B">
        <w:rPr>
          <w:rFonts w:ascii="Times New Roman" w:hAnsi="Times New Roman" w:cs="Times New Roman"/>
        </w:rPr>
        <w:t>r</w:t>
      </w:r>
      <w:r>
        <w:rPr>
          <w:rFonts w:ascii="Times New Roman" w:hAnsi="Times New Roman" w:cs="Times New Roman"/>
        </w:rPr>
        <w:t>ities with no listing voting power</w:t>
      </w:r>
      <w:r w:rsidR="001B723B">
        <w:rPr>
          <w:rFonts w:ascii="Times New Roman" w:hAnsi="Times New Roman" w:cs="Times New Roman"/>
        </w:rPr>
        <w:t xml:space="preserve"> if the companies do not revise their capital structure or adopt a time-based sunset provision (reasonable threshold: 7 years).</w:t>
      </w:r>
    </w:p>
    <w:p w:rsidR="001B723B" w:rsidRPr="001B723B" w:rsidRDefault="001B723B" w:rsidP="00D302B6">
      <w:pPr>
        <w:pStyle w:val="ListParagraph"/>
        <w:numPr>
          <w:ilvl w:val="0"/>
          <w:numId w:val="6"/>
        </w:numPr>
        <w:jc w:val="both"/>
        <w:rPr>
          <w:rFonts w:ascii="Times New Roman" w:hAnsi="Times New Roman" w:cs="Times New Roman"/>
          <w:b/>
        </w:rPr>
      </w:pPr>
      <w:r>
        <w:rPr>
          <w:rFonts w:ascii="Times New Roman" w:hAnsi="Times New Roman" w:cs="Times New Roman"/>
        </w:rPr>
        <w:t>Index weight of securities with unequal voting shares should be linked to voting power.</w:t>
      </w:r>
    </w:p>
    <w:p w:rsidR="001B723B" w:rsidRPr="001B723B" w:rsidRDefault="001B723B" w:rsidP="00D302B6">
      <w:pPr>
        <w:pStyle w:val="ListParagraph"/>
        <w:numPr>
          <w:ilvl w:val="0"/>
          <w:numId w:val="6"/>
        </w:numPr>
        <w:jc w:val="both"/>
        <w:rPr>
          <w:rFonts w:ascii="Times New Roman" w:hAnsi="Times New Roman" w:cs="Times New Roman"/>
          <w:b/>
        </w:rPr>
      </w:pPr>
      <w:r>
        <w:rPr>
          <w:rFonts w:ascii="Times New Roman" w:hAnsi="Times New Roman" w:cs="Times New Roman"/>
        </w:rPr>
        <w:t>To reflect misalignment between voting power and economic interest, voting power adjustment is fine. However, such adjustments should be pegged to the lower of (</w:t>
      </w:r>
      <w:proofErr w:type="spellStart"/>
      <w:r>
        <w:rPr>
          <w:rFonts w:ascii="Times New Roman" w:hAnsi="Times New Roman" w:cs="Times New Roman"/>
        </w:rPr>
        <w:t>i</w:t>
      </w:r>
      <w:proofErr w:type="spellEnd"/>
      <w:r>
        <w:rPr>
          <w:rFonts w:ascii="Times New Roman" w:hAnsi="Times New Roman" w:cs="Times New Roman"/>
        </w:rPr>
        <w:t>) company voting (i.e. proportion of total voting power held by non-strategic shareholders of listed securities) on voting items other than the election of directors, or (ii) the percentage of total board seats on which inferior class holders can vote on OSOV basis.</w:t>
      </w:r>
    </w:p>
    <w:p w:rsidR="001B723B" w:rsidRPr="001B723B" w:rsidRDefault="001B723B" w:rsidP="001B723B">
      <w:pPr>
        <w:pStyle w:val="ListParagraph"/>
        <w:numPr>
          <w:ilvl w:val="1"/>
          <w:numId w:val="6"/>
        </w:numPr>
        <w:jc w:val="both"/>
        <w:rPr>
          <w:rFonts w:ascii="Times New Roman" w:hAnsi="Times New Roman" w:cs="Times New Roman"/>
          <w:b/>
        </w:rPr>
      </w:pPr>
      <w:r>
        <w:rPr>
          <w:rFonts w:ascii="Times New Roman" w:hAnsi="Times New Roman" w:cs="Times New Roman"/>
        </w:rPr>
        <w:t>Rationale: Companies can design capital structures around establishing control solely through the rights to elect directors.</w:t>
      </w:r>
    </w:p>
    <w:p w:rsidR="001B723B" w:rsidRPr="001B723B" w:rsidRDefault="001B723B" w:rsidP="001B723B">
      <w:pPr>
        <w:pStyle w:val="ListParagraph"/>
        <w:numPr>
          <w:ilvl w:val="0"/>
          <w:numId w:val="6"/>
        </w:numPr>
        <w:jc w:val="both"/>
        <w:rPr>
          <w:rFonts w:ascii="Times New Roman" w:hAnsi="Times New Roman" w:cs="Times New Roman"/>
          <w:b/>
        </w:rPr>
      </w:pPr>
      <w:r>
        <w:rPr>
          <w:rFonts w:ascii="Times New Roman" w:hAnsi="Times New Roman" w:cs="Times New Roman"/>
        </w:rPr>
        <w:t xml:space="preserve">While votes per share cannot be calculated for companies with “loyalty share” structures, these companies should provide, on an annual basis, </w:t>
      </w:r>
      <w:proofErr w:type="gramStart"/>
      <w:r>
        <w:rPr>
          <w:rFonts w:ascii="Times New Roman" w:hAnsi="Times New Roman" w:cs="Times New Roman"/>
        </w:rPr>
        <w:t>sufficient</w:t>
      </w:r>
      <w:proofErr w:type="gramEnd"/>
      <w:r>
        <w:rPr>
          <w:rFonts w:ascii="Times New Roman" w:hAnsi="Times New Roman" w:cs="Times New Roman"/>
        </w:rPr>
        <w:t xml:space="preserve"> information to calculate the proportion of total voting power in the hands of non-strategic shareholders of listed securities.</w:t>
      </w:r>
    </w:p>
    <w:p w:rsidR="001B723B" w:rsidRPr="001B723B" w:rsidRDefault="001B723B" w:rsidP="001B723B">
      <w:pPr>
        <w:pStyle w:val="ListParagraph"/>
        <w:jc w:val="both"/>
        <w:rPr>
          <w:rFonts w:ascii="Times New Roman" w:hAnsi="Times New Roman" w:cs="Times New Roman"/>
          <w:b/>
        </w:rPr>
      </w:pPr>
    </w:p>
    <w:p w:rsidR="001B723B" w:rsidRDefault="001B723B" w:rsidP="001B723B">
      <w:pPr>
        <w:pStyle w:val="ListParagraph"/>
        <w:numPr>
          <w:ilvl w:val="0"/>
          <w:numId w:val="1"/>
        </w:numPr>
        <w:jc w:val="both"/>
        <w:rPr>
          <w:rFonts w:ascii="Times New Roman" w:hAnsi="Times New Roman" w:cs="Times New Roman"/>
          <w:b/>
        </w:rPr>
      </w:pPr>
      <w:r>
        <w:rPr>
          <w:rFonts w:ascii="Times New Roman" w:hAnsi="Times New Roman" w:cs="Times New Roman"/>
          <w:b/>
        </w:rPr>
        <w:t>Follow-up actions</w:t>
      </w:r>
    </w:p>
    <w:p w:rsidR="001B723B" w:rsidRDefault="001B723B" w:rsidP="001B723B">
      <w:pPr>
        <w:pStyle w:val="ListParagraph"/>
        <w:numPr>
          <w:ilvl w:val="0"/>
          <w:numId w:val="7"/>
        </w:numPr>
        <w:jc w:val="both"/>
        <w:rPr>
          <w:rFonts w:ascii="Times New Roman" w:hAnsi="Times New Roman" w:cs="Times New Roman"/>
        </w:rPr>
      </w:pPr>
      <w:r>
        <w:rPr>
          <w:rFonts w:ascii="Times New Roman" w:hAnsi="Times New Roman" w:cs="Times New Roman"/>
        </w:rPr>
        <w:t>Acquire data with voting rights associated with each security, voting restrictions (e.g. elect directors), sunset provisions (e.g. whether there is a clause and the length of sunset provision), loyalty shares etc.</w:t>
      </w:r>
    </w:p>
    <w:p w:rsidR="001B723B" w:rsidRDefault="001B723B" w:rsidP="001B723B">
      <w:pPr>
        <w:pStyle w:val="ListParagraph"/>
        <w:numPr>
          <w:ilvl w:val="0"/>
          <w:numId w:val="7"/>
        </w:numPr>
        <w:jc w:val="both"/>
        <w:rPr>
          <w:rFonts w:ascii="Times New Roman" w:hAnsi="Times New Roman" w:cs="Times New Roman"/>
        </w:rPr>
      </w:pPr>
      <w:r>
        <w:rPr>
          <w:rFonts w:ascii="Times New Roman" w:hAnsi="Times New Roman" w:cs="Times New Roman"/>
        </w:rPr>
        <w:t xml:space="preserve">Consultations with accredited bodies, e.g. CII or Associate Professor </w:t>
      </w:r>
      <w:proofErr w:type="spellStart"/>
      <w:r>
        <w:rPr>
          <w:rFonts w:ascii="Times New Roman" w:hAnsi="Times New Roman" w:cs="Times New Roman"/>
        </w:rPr>
        <w:t>Mak</w:t>
      </w:r>
      <w:proofErr w:type="spellEnd"/>
      <w:r>
        <w:rPr>
          <w:rFonts w:ascii="Times New Roman" w:hAnsi="Times New Roman" w:cs="Times New Roman"/>
        </w:rPr>
        <w:t xml:space="preserve"> Yuen Teen</w:t>
      </w:r>
    </w:p>
    <w:p w:rsidR="001B723B" w:rsidRPr="001B723B" w:rsidRDefault="001B723B" w:rsidP="001B723B">
      <w:pPr>
        <w:pStyle w:val="ListParagraph"/>
        <w:numPr>
          <w:ilvl w:val="0"/>
          <w:numId w:val="7"/>
        </w:numPr>
        <w:jc w:val="both"/>
        <w:rPr>
          <w:rFonts w:ascii="Times New Roman" w:hAnsi="Times New Roman" w:cs="Times New Roman"/>
        </w:rPr>
      </w:pPr>
      <w:r>
        <w:rPr>
          <w:rFonts w:ascii="Times New Roman" w:hAnsi="Times New Roman" w:cs="Times New Roman"/>
        </w:rPr>
        <w:t>Come up with a weighting scheme that incorporates the data above</w:t>
      </w:r>
      <w:bookmarkStart w:id="0" w:name="_GoBack"/>
      <w:bookmarkEnd w:id="0"/>
    </w:p>
    <w:p w:rsidR="002A20F1" w:rsidRPr="002A20F1" w:rsidRDefault="002A20F1" w:rsidP="002A20F1">
      <w:pPr>
        <w:jc w:val="both"/>
        <w:rPr>
          <w:rFonts w:ascii="Times New Roman" w:hAnsi="Times New Roman" w:cs="Times New Roman"/>
        </w:rPr>
      </w:pPr>
    </w:p>
    <w:sectPr w:rsidR="002A20F1" w:rsidRPr="002A2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0038"/>
    <w:multiLevelType w:val="hybridMultilevel"/>
    <w:tmpl w:val="370E6EAE"/>
    <w:lvl w:ilvl="0" w:tplc="A3D4958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B32A83"/>
    <w:multiLevelType w:val="hybridMultilevel"/>
    <w:tmpl w:val="51D02390"/>
    <w:lvl w:ilvl="0" w:tplc="5BDEEA18">
      <w:start w:val="1"/>
      <w:numFmt w:val="lowerLetter"/>
      <w:lvlText w:val="(%1)"/>
      <w:lvlJc w:val="left"/>
      <w:pPr>
        <w:ind w:left="720" w:hanging="360"/>
      </w:pPr>
      <w:rPr>
        <w:rFonts w:hint="default"/>
      </w:rPr>
    </w:lvl>
    <w:lvl w:ilvl="1" w:tplc="48090009">
      <w:start w:val="1"/>
      <w:numFmt w:val="bullet"/>
      <w:lvlText w:val=""/>
      <w:lvlJc w:val="left"/>
      <w:pPr>
        <w:ind w:left="1440" w:hanging="360"/>
      </w:pPr>
      <w:rPr>
        <w:rFonts w:ascii="Wingdings" w:hAnsi="Wingding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33C5206"/>
    <w:multiLevelType w:val="hybridMultilevel"/>
    <w:tmpl w:val="40404A78"/>
    <w:lvl w:ilvl="0" w:tplc="223CCD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6C27C74"/>
    <w:multiLevelType w:val="hybridMultilevel"/>
    <w:tmpl w:val="CC22EF9E"/>
    <w:lvl w:ilvl="0" w:tplc="623AB3D8">
      <w:start w:val="1"/>
      <w:numFmt w:val="lowerLetter"/>
      <w:lvlText w:val="(%1)"/>
      <w:lvlJc w:val="left"/>
      <w:pPr>
        <w:ind w:left="720" w:hanging="360"/>
      </w:pPr>
      <w:rPr>
        <w:rFonts w:hint="default"/>
        <w:b w:val="0"/>
      </w:rPr>
    </w:lvl>
    <w:lvl w:ilvl="1" w:tplc="48090009">
      <w:start w:val="1"/>
      <w:numFmt w:val="bullet"/>
      <w:lvlText w:val=""/>
      <w:lvlJc w:val="left"/>
      <w:pPr>
        <w:ind w:left="1440" w:hanging="360"/>
      </w:pPr>
      <w:rPr>
        <w:rFonts w:ascii="Wingdings" w:hAnsi="Wingding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E7B0CD0"/>
    <w:multiLevelType w:val="hybridMultilevel"/>
    <w:tmpl w:val="97BC8202"/>
    <w:lvl w:ilvl="0" w:tplc="16E4835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D1B1A31"/>
    <w:multiLevelType w:val="hybridMultilevel"/>
    <w:tmpl w:val="C7629904"/>
    <w:lvl w:ilvl="0" w:tplc="0CD8FFB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C993B10"/>
    <w:multiLevelType w:val="hybridMultilevel"/>
    <w:tmpl w:val="032C1BA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70"/>
    <w:rsid w:val="000B2215"/>
    <w:rsid w:val="001B723B"/>
    <w:rsid w:val="002A20F1"/>
    <w:rsid w:val="00434BD5"/>
    <w:rsid w:val="006F5983"/>
    <w:rsid w:val="00AE5570"/>
    <w:rsid w:val="00D302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AD46"/>
  <w15:chartTrackingRefBased/>
  <w15:docId w15:val="{D3A0F132-F3BB-46F4-BF2D-84573D06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1</cp:revision>
  <dcterms:created xsi:type="dcterms:W3CDTF">2019-05-12T05:03:00Z</dcterms:created>
  <dcterms:modified xsi:type="dcterms:W3CDTF">2019-05-12T06:10:00Z</dcterms:modified>
</cp:coreProperties>
</file>