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9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234440" cy="123444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bilder/arcotime-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rcotime"/>
    <w:p>
      <w:pPr>
        <w:pStyle w:val="Heading1"/>
      </w:pPr>
      <w:r>
        <w:t xml:space="preserve">ArcoTime</w:t>
      </w:r>
    </w:p>
    <w:p>
      <w:pPr>
        <w:pStyle w:val="FirstParagraph"/>
      </w:pPr>
      <w:r>
        <w:rPr>
          <w:i/>
          <w:iCs/>
        </w:rPr>
        <w:t xml:space="preserve">Smart planen. Besser arbeiten.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Zeiterfassung, Aufträge, Arbeitsrapporte und Auswertungen in einer Anwendung – statt in drei getrennten Excel-Listen. Für Handwerk, Dienstleistung und KMU, die unterwegs arbeiten und den Überblick behalten wollen.</w:t>
      </w:r>
    </w:p>
    <w:bookmarkStart w:id="12" w:name="die-highlights"/>
    <w:p>
      <w:pPr>
        <w:pStyle w:val="Heading2"/>
      </w:pPr>
      <w:r>
        <w:t xml:space="preserve">Die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Zeiterfassung mit Timer</w:t>
      </w:r>
      <w:r>
        <w:t xml:space="preserve"> </w:t>
      </w:r>
      <w:r>
        <w:t xml:space="preserve">– manuell oder live per Timer. Er läuft auf dem Server weiter, auch bei geschlossenem Browser.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Arbeitsrapporte, die unterwegs genügen</w:t>
      </w:r>
      <w:r>
        <w:t xml:space="preserve"> </w:t>
      </w:r>
      <w:r>
        <w:t xml:space="preserve">– Einsatzadresse, Zugang („Schlüssel Nr. 4 im Kasten links”), Ansprechperson und alle Beteiligten mit anklickbarer Nummer. Auf dem Bildschirm und auf Papier.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 Kunde, mehrere Adressen</w:t>
      </w:r>
      <w:r>
        <w:t xml:space="preserve"> </w:t>
      </w:r>
      <w:r>
        <w:t xml:space="preserve">– Liegenschaft, Filiale, Baustelle. Mit eigener Anfahrt, eigenem Zugang und eigenen Beteiligten: Eigentümer, Verwaltung, Hauswart, Architekt.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Arbeit und Material in einer Liste</w:t>
      </w:r>
      <w:r>
        <w:t xml:space="preserve"> </w:t>
      </w:r>
      <w:r>
        <w:t xml:space="preserve">– Stunden, Kilometer, Spesen, Material. Preise, Rabatte und Mehrwertsteuer werden beim Erfassen eingefroren; eine späte Preisänderung verändert nichts Altes.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Navigation und Anruf mit einem Tipp</w:t>
      </w:r>
      <w:r>
        <w:t xml:space="preserve"> </w:t>
      </w:r>
      <w:r>
        <w:t xml:space="preserve">– zur richtigen Adresse, nicht zur Rechnungsadresse der Verwaltung.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Ihre Wörter, nicht unsere</w:t>
      </w:r>
      <w:r>
        <w:t xml:space="preserve"> </w:t>
      </w:r>
      <w:r>
        <w:t xml:space="preserve">– aus dem Projekt wird ein Auftrag, aus der Anfrage ein Ticket, aus dem Standort eine Liegenschaft. Einzahl, Mehrzahl und Artikel stellen Sie selbst ein; Branchenvorlagen setzen alles auf einmal.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Anfragen als Board</w:t>
      </w:r>
      <w:r>
        <w:t xml:space="preserve"> </w:t>
      </w:r>
      <w:r>
        <w:t xml:space="preserve">– vom Erstkontakt bis zum erledigten Auftrag, per Drag &amp; Drop. Fällige Wiedervorlagen melden sich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Auswertungen, die rechnen</w:t>
      </w:r>
      <w:r>
        <w:t xml:space="preserve"> </w:t>
      </w:r>
      <w:r>
        <w:t xml:space="preserve">– nach Auftrag, nach Artikelklasse und nach Einsatzort, mit Menge und Betrag. Eine Zahl, die keinen Sinn ergibt, wird nicht gezeigt.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 für die Buchhaltung</w:t>
      </w:r>
      <w:r>
        <w:t xml:space="preserve"> </w:t>
      </w:r>
      <w:r>
        <w:t xml:space="preserve">– ein Klick, im passenden Format, mit automatischer Belegnummer.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Auf dem Telefon dasselbe</w:t>
      </w:r>
      <w:r>
        <w:t xml:space="preserve"> </w:t>
      </w:r>
      <w:r>
        <w:t xml:space="preserve">– kein reduzierter Umfang, nur eine andere Anordnung: Der Tag zuoberst, Navigation und Anruf in Daumenreichweite.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Mandantenfähig und sicher</w:t>
      </w:r>
      <w:r>
        <w:t xml:space="preserve"> </w:t>
      </w:r>
      <w:r>
        <w:t xml:space="preserve">– jede Organisation sieht ausschliesslich ihre eigenen Daten. Server in der Schweiz, tägliche Sicherung, vollständiger Datenexport jederzeit.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Hilfe in der Anwendung</w:t>
      </w:r>
      <w:r>
        <w:t xml:space="preserve"> </w:t>
      </w:r>
      <w:r>
        <w:t xml:space="preserve">– mit Stichwortsuche, zum Thema passend, druckbar.</w:t>
      </w:r>
    </w:p>
    <w:p>
      <w:pPr>
        <w:pStyle w:val="FirstParagraph"/>
      </w:pPr>
      <w:r>
        <w:rPr>
          <w:b/>
          <w:bCs/>
        </w:rPr>
        <w:t xml:space="preserve">Ab CHF 11.– bis CHF 15.– pro Monat und Benutzer</w:t>
      </w:r>
    </w:p>
    <w:p>
      <w:pPr>
        <w:pStyle w:val="BodyText"/>
      </w:pPr>
      <w:r>
        <w:t xml:space="preserve">gestaffelt nach Anzahl Lizenzen, exkl. MWST · 30 Tage kostenlos testen</w:t>
      </w:r>
    </w:p>
    <w:bookmarkEnd w:id="12"/>
    <w:bookmarkStart w:id="19" w:name="so-sieht-es-aus"/>
    <w:p>
      <w:pPr>
        <w:pStyle w:val="Heading2"/>
      </w:pPr>
      <w:r>
        <w:t xml:space="preserve">So sieht es aus</w:t>
      </w:r>
    </w:p>
    <w:p>
      <w:pPr>
        <w:pStyle w:val="CaptionedFigure"/>
      </w:pPr>
      <w:r>
        <w:drawing>
          <wp:inline>
            <wp:extent cx="2834640" cy="1555002"/>
            <wp:effectExtent b="0" l="0" r="0" t="0"/>
            <wp:docPr descr="Anfragen als Board" title="" id="14" name="Picture"/>
            <a:graphic>
              <a:graphicData uri="http://schemas.openxmlformats.org/drawingml/2006/picture">
                <pic:pic>
                  <pic:nvPicPr>
                    <pic:cNvPr descr="bilder/anfragen-boar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15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Anfragen als Board</w:t>
      </w:r>
    </w:p>
    <w:p>
      <w:pPr>
        <w:pStyle w:val="CaptionedFigure"/>
      </w:pPr>
      <w:r>
        <w:drawing>
          <wp:inline>
            <wp:extent cx="2834640" cy="2116531"/>
            <wp:effectExtent b="0" l="0" r="0" t="0"/>
            <wp:docPr descr="Farbiger Kalender" title="" id="17" name="Picture"/>
            <a:graphic>
              <a:graphicData uri="http://schemas.openxmlformats.org/drawingml/2006/picture">
                <pic:pic>
                  <pic:nvPicPr>
                    <pic:cNvPr descr="bilder/kalende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2116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Farbiger Kalender</w:t>
      </w:r>
    </w:p>
    <w:bookmarkEnd w:id="19"/>
    <w:bookmarkStart w:id="23" w:name="interesse-geweckt"/>
    <w:p>
      <w:pPr>
        <w:pStyle w:val="Heading2"/>
      </w:pPr>
      <w:r>
        <w:t xml:space="preserve">Interesse geweckt?</w:t>
      </w:r>
    </w:p>
    <w:p>
      <w:pPr>
        <w:pStyle w:val="BlockText"/>
      </w:pPr>
      <w:r>
        <w:t xml:space="preserve">Wir zeigen Ihnen gerne unverbindlich, wie ArcoTime für Ihren Betrieb passt.</w:t>
      </w:r>
    </w:p>
    <w:p>
      <w:pPr>
        <w:pStyle w:val="BlockText"/>
      </w:pPr>
      <w:r>
        <w:rPr>
          <w:b/>
          <w:bCs/>
        </w:rPr>
        <w:t xml:space="preserve">[Name Ansprechpartner:in]</w:t>
      </w:r>
      <w:r>
        <w:t xml:space="preserve"> </w:t>
      </w:r>
      <w:r>
        <w:t xml:space="preserve">· [Telefonnummer] · [E-Mail-Adresse]</w:t>
      </w:r>
    </w:p>
    <w:p>
      <w:pPr>
        <w:pStyle w:val="BlockText"/>
      </w:pPr>
      <w:r>
        <w:t xml:space="preserve">Oder direkt online registrieren und 30 Tage kostenlos testen:</w:t>
      </w:r>
      <w:r>
        <w:t xml:space="preserve"> </w:t>
      </w:r>
      <w:r>
        <w:rPr>
          <w:b/>
          <w:bCs/>
        </w:rPr>
        <w:t xml:space="preserve">arcotime.ch/registrieren</w:t>
      </w:r>
    </w:p>
    <w:p>
      <w:pPr>
        <w:pStyle w:val="FirstParagraph"/>
      </w:pPr>
      <w:r>
        <w:drawing>
          <wp:inline>
            <wp:extent cx="2093976" cy="33536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bilder/arcos-group-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33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C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de-CH</dc:language>
  <cp:keywords/>
  <dcterms:created xsi:type="dcterms:W3CDTF">2026-08-23T05:23:44Z</dcterms:created>
  <dcterms:modified xsi:type="dcterms:W3CDTF">2026-08-23T05:23:44Z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