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6.3 Offene Rapporte vom Vortag</w:t>
      </w:r>
    </w:p>
    <w:p>
      <w:pPr>
        <w:spacing w:after="120"/>
      </w:pPr>
      <w:r>
        <w:rPr>
          <w:rFonts w:ascii="IBM Plex Sans" w:cs="IBM Plex Sans" w:eastAsia="IBM Plex Sans" w:hAnsi="IBM Plex Sans"/>
          <w:color w:val="0E0C19"/>
          <w:sz w:val="21"/>
          <w:szCs w:val="21"/>
        </w:rPr>
        <w:t xml:space="preserve">Ein Arbeitsrapport, der offen bleibt, zählt nirgends: weder in den Auswertungen noch im Export noch in der Zeiterfassung (siehe 10.11). Er ist damit nicht bloss unordentlich, sondern unverrechnete Arbeit – und genau das fällt niemandem auf, weil an der Stelle schlicht nichts steht. Ein vergessener Rapport ist stiller als ein vergessener Zeiteintrag.</w:t>
      </w:r>
    </w:p>
    <w:p>
      <w:pPr>
        <w:spacing w:after="120"/>
      </w:pPr>
      <w:r>
        <w:rPr>
          <w:rFonts w:ascii="IBM Plex Sans" w:cs="IBM Plex Sans" w:eastAsia="IBM Plex Sans" w:hAnsi="IBM Plex Sans"/>
          <w:color w:val="0E0C19"/>
          <w:sz w:val="21"/>
          <w:szCs w:val="21"/>
        </w:rPr>
        <w:t xml:space="preserve">Deshalb geht im selben täglichen Lauf eine Erinnerung an die Person, die am Rapport als ausführend eingetragen ist. Sie darf ihn abschliessen und weiss als Einzige, ob noch etwas fehlt. Die Mail listet die betroffenen Rapporte mit Kunde, Projekt und Datum; was länger als einen Tag liegt, ist hervorgehoben und nennt die Zahl der Tage. Ein roter Zähler neben „Rapporte“ zeigt dieselbe Zahl dauerhaft in der Navigation.</w:t>
      </w:r>
    </w:p>
    <w:p>
      <w:pPr>
        <w:spacing w:after="120"/>
      </w:pPr>
      <w:r>
        <w:rPr>
          <w:rFonts w:ascii="IBM Plex Sans" w:cs="IBM Plex Sans" w:eastAsia="IBM Plex Sans" w:hAnsi="IBM Plex Sans"/>
          <w:color w:val="0E0C19"/>
          <w:sz w:val="21"/>
          <w:szCs w:val="21"/>
        </w:rPr>
        <w:t xml:space="preserve">Erinnert wird nur an Rapporte mit einem Datum vor heute. Ein Einsatz von heute läuft möglicherweise noch, und eine Mahnung dafür wäre Lärm – Lärm hört man nach zwei Wochen nicht mehr. Deaktivierte Konten bekommen keine Post; ihre offenen Rapporte bleiben stehen, denn dort hilft nur ein Wechsel der verantwortlichen Person, und das ist eine Entscheidung des Büros.</w:t>
      </w:r>
    </w:p>
    <w:p>
      <w:pPr>
        <w:spacing w:after="120"/>
      </w:pPr>
      <w:r>
        <w:rPr>
          <w:rFonts w:ascii="IBM Plex Sans" w:cs="IBM Plex Sans" w:eastAsia="IBM Plex Sans" w:hAnsi="IBM Plex Sans"/>
          <w:color w:val="0E0C19"/>
          <w:sz w:val="21"/>
          <w:szCs w:val="21"/>
        </w:rPr>
        <w:t xml:space="preserve">Beide Tagesmeldungen teilen sich bewusst einen Lauf und dieselbe Adresse. Ein zweiter Cron-Eintrag hätte das Kontingent des Hosting-Tarifs beansprucht und den Sommer-/Winterzeit-Abgleich ein zweites Mal gebraucht; eine Meldung am Morgen ist ohnehin genug. Der frühe Ausstieg bei null Wiedervorlagen musste dafür weichen – sonst wäre die Rapport-Erinnerung an den meisten Tagen nie gelaufen.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10.11 Vorläufige Positionen: Absicht und Nachweis trennen</w:t>
      </w:r>
    </w:p>
    <w:p>
      <w:pPr>
        <w:spacing w:after="120"/>
      </w:pPr>
      <w:r>
        <w:rPr>
          <w:rFonts w:ascii="IBM Plex Sans" w:cs="IBM Plex Sans" w:eastAsia="IBM Plex Sans" w:hAnsi="IBM Plex Sans"/>
          <w:color w:val="0E0C19"/>
          <w:sz w:val="21"/>
          <w:szCs w:val="21"/>
        </w:rP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spacing w:after="120"/>
      </w:pPr>
      <w:r>
        <w:rPr>
          <w:rFonts w:ascii="IBM Plex Sans" w:cs="IBM Plex Sans" w:eastAsia="IBM Plex Sans" w:hAnsi="IBM Plex Sans"/>
          <w:color w:val="0E0C19"/>
          <w:sz w:val="21"/>
          <w:szCs w:val="21"/>
        </w:rP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spacing w:after="120"/>
      </w:pPr>
      <w:r>
        <w:rPr>
          <w:rFonts w:ascii="IBM Plex Sans" w:cs="IBM Plex Sans" w:eastAsia="IBM Plex Sans" w:hAnsi="IBM Plex Sans"/>
          <w:color w:val="0E0C19"/>
          <w:sz w:val="21"/>
          <w:szCs w:val="21"/>
        </w:rP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spacing w:after="120"/>
      </w:pPr>
      <w:r>
        <w:rPr>
          <w:rFonts w:ascii="IBM Plex Sans" w:cs="IBM Plex Sans" w:eastAsia="IBM Plex Sans" w:hAnsi="IBM Plex Sans"/>
          <w:color w:val="0E0C19"/>
          <w:sz w:val="21"/>
          <w:szCs w:val="21"/>
        </w:rP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spacing w:after="120"/>
      </w:pPr>
      <w:r>
        <w:rPr>
          <w:rFonts w:ascii="IBM Plex Sans" w:cs="IBM Plex Sans" w:eastAsia="IBM Plex Sans" w:hAnsi="IBM Plex Sans"/>
          <w:color w:val="0E0C19"/>
          <w:sz w:val="21"/>
          <w:szCs w:val="21"/>
        </w:rP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spacing w:after="120"/>
      </w:pPr>
      <w:r>
        <w:rPr>
          <w:rFonts w:ascii="IBM Plex Sans" w:cs="IBM Plex Sans" w:eastAsia="IBM Plex Sans" w:hAnsi="IBM Plex Sans"/>
          <w:color w:val="0E0C19"/>
          <w:sz w:val="21"/>
          <w:szCs w:val="21"/>
        </w:rP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spacing w:after="120"/>
      </w:pPr>
      <w:r>
        <w:rPr>
          <w:rFonts w:ascii="IBM Plex Sans" w:cs="IBM Plex Sans" w:eastAsia="IBM Plex Sans" w:hAnsi="IBM Plex Sans"/>
          <w:color w:val="0E0C19"/>
          <w:sz w:val="21"/>
          <w:szCs w:val="21"/>
        </w:rP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10.12 Abschluss, Unterschrift und das Dokument für den Kunden</w:t>
      </w:r>
    </w:p>
    <w:p>
      <w:pPr>
        <w:spacing w:after="120"/>
      </w:pPr>
      <w:r>
        <w:rPr>
          <w:rFonts w:ascii="IBM Plex Sans" w:cs="IBM Plex Sans" w:eastAsia="IBM Plex Sans" w:hAnsi="IBM Plex Sans"/>
          <w:color w:val="0E0C19"/>
          <w:sz w:val="21"/>
          <w:szCs w:val="21"/>
        </w:rPr>
        <w:t xml:space="preserve">Solange ein Rapport offen ist, zählen seine Positionen nirgends (10.11). Der Abschluss ist damit kein Formalismus, sondern der Moment, in dem aus Absicht ein Nachweis wird. Er steht deshalb sichtbar unten auf der Rapportseite und nicht in einem Menü.</w:t>
      </w:r>
    </w:p>
    <w:p>
      <w:pPr>
        <w:spacing w:after="120"/>
      </w:pPr>
      <w:r>
        <w:rPr>
          <w:rFonts w:ascii="IBM Plex Sans" w:cs="IBM Plex Sans" w:eastAsia="IBM Plex Sans" w:hAnsi="IBM Plex Sans"/>
          <w:color w:val="0E0C19"/>
          <w:sz w:val="21"/>
          <w:szCs w:val="21"/>
        </w:rPr>
        <w:t xml:space="preserve">Der gemeinte Weg ist „Signieren und abschliessen“: Der Name der unterzeichnenden Person wird eingetragen, der Kunde unterschreibt im Feld darunter – mit Finger oder Stift auf dem Tablet, mit der Maus am Rechner – und der Rapport wird geschlossen. Die Unterschrift wird als Bild am Rapport gespeichert und erscheint auf dem Dokument.</w:t>
      </w:r>
    </w:p>
    <w:p>
      <w:pPr>
        <w:spacing w:after="120"/>
      </w:pPr>
      <w:r>
        <w:rPr>
          <w:rFonts w:ascii="IBM Plex Sans" w:cs="IBM Plex Sans" w:eastAsia="IBM Plex Sans" w:hAnsi="IBM Plex Sans"/>
          <w:color w:val="0E0C19"/>
          <w:sz w:val="21"/>
          <w:szCs w:val="21"/>
        </w:rPr>
        <w:t xml:space="preserve">Daneben steht „Ohne Unterschrift abschliessen“. Der Fall kommt in der Praxis häufig vor – niemand Unterschriftsberechtigtes ist am Nachmittag noch vor Ort –, und ein Rapport, der deswegen offen bleibt, ist schlimmer als einer ohne Unterschrift. Dieser Weg verlangt dafür einen kurzen Vermerk, der am Rapport bleibt, und liegt eine Ebene tiefer, damit er nicht zur bequemen Gewohnheit wird.</w:t>
      </w:r>
    </w:p>
    <w:p>
      <w:pPr>
        <w:spacing w:after="120"/>
      </w:pPr>
      <w:r>
        <w:rPr>
          <w:rFonts w:ascii="IBM Plex Sans" w:cs="IBM Plex Sans" w:eastAsia="IBM Plex Sans" w:hAnsi="IBM Plex Sans"/>
          <w:color w:val="0E0C19"/>
          <w:sz w:val="21"/>
          <w:szCs w:val="21"/>
        </w:rPr>
        <w:t xml:space="preserve">Mit dem Abschluss erhält der Rapport seine Nummer aus dem Nummernkreis (10.2) und wird unveränderlich. Zwei Fälle lässt die Datenbank nicht zu: einen Rapport ohne Positionen und einen mit Datum in der Zukunft. Beide Bedingungen nimmt die Oberfläche vorweg und nennt den Grund, statt den Klick ins Leere laufen zu lassen.</w:t>
      </w:r>
    </w:p>
    <w:p>
      <w:pPr>
        <w:spacing w:after="120"/>
      </w:pPr>
      <w:r>
        <w:rPr>
          <w:rFonts w:ascii="IBM Plex Sans" w:cs="IBM Plex Sans" w:eastAsia="IBM Plex Sans" w:hAnsi="IBM Plex Sans"/>
          <w:color w:val="0E0C19"/>
          <w:sz w:val="21"/>
          <w:szCs w:val="21"/>
        </w:rPr>
        <w:t xml:space="preserve">Abschliessen darf die verantwortliche Person des Rapports – bei einem Einsatz mit mehreren Beteiligten also die Projektleitung (10.14). Sie war dabei, sie steht mit ihrem Namen auf dem Dokument, und sie beurteilt, ob alle Positionen erfasst sind. Ein Administrator darf ebenfalls abschliessen, sonst steckt ein Einsatz fest, wenn die verantwortliche Person krank ist oder den Betrieb verlässt. Geprüft wird in der Datenbankfunktion und nicht nur in der Oberfläche: Ein Aufruf lässt sich nachbauen.</w:t>
      </w:r>
    </w:p>
    <w:p>
      <w:pPr>
        <w:spacing w:after="120"/>
      </w:pPr>
      <w:r>
        <w:rPr>
          <w:rFonts w:ascii="IBM Plex Sans" w:cs="IBM Plex Sans" w:eastAsia="IBM Plex Sans" w:hAnsi="IBM Plex Sans"/>
          <w:color w:val="0E0C19"/>
          <w:sz w:val="21"/>
          <w:szCs w:val="21"/>
        </w:rPr>
        <w:t xml:space="preserve">Das Dokument für den Kunden gibt es zweimal – als Druckansicht im Browser und als PDF-Datei. Beide ziehen ihre Daten aus derselben Funktion; zwei getrennte Aufbereitungen wären nach der ersten Änderung auseinandergelaufen. Der Aufbau folgt dem Schweizer Fenstercouvert: Absenderblock und Logo oben rechts, darunter die einzeilige unterstrichene Absenderangabe in 7 Punkt, die Kundenadresse 2 cm unter der Oberkante, der Titel „Arbeitsrapport“ zentriert bei 3 cm. Preise stehen bewusst nicht darauf – der Rapport ist ein Leistungsnachweis, keine Rechnung.</w:t>
      </w:r>
    </w:p>
    <w:p>
      <w:pPr>
        <w:spacing w:after="120"/>
      </w:pPr>
      <w:r>
        <w:rPr>
          <w:rFonts w:ascii="IBM Plex Sans" w:cs="IBM Plex Sans" w:eastAsia="IBM Plex Sans" w:hAnsi="IBM Plex Sans"/>
          <w:color w:val="0E0C19"/>
          <w:sz w:val="21"/>
          <w:szCs w:val="21"/>
        </w:rPr>
        <w:t xml:space="preserve">Absenderangaben und Logo gehören der Organisation und werden unter Einstellungen gepflegt; das Logo liegt in einem öffentlichen Storage-Bucket, damit es sowohl die Druckansicht als auch der PDF-Erzeuger laden kann. Für das PDF kam @react-pdf/renderer dazu – eine reine Programmbibliothek ohne laufende Kosten und ohne externen Dienst, an den Kundendaten gingen. Sie rendert allerdings kein HTML, sondern ein eigenes Flexbox-Modell: Blöcke ohne ausdrückliche Breite ziehen sich über die ganze Seite, und eine Bildhöhe begrenzt kein Bild. Beides musste die Vorlage lernen.</w:t>
      </w:r>
    </w:p>
    <w:p>
      <w:pPr>
        <w:spacing w:after="120"/>
      </w:pPr>
      <w:r>
        <w:rPr>
          <w:rFonts w:ascii="IBM Plex Sans" w:cs="IBM Plex Sans" w:eastAsia="IBM Plex Sans" w:hAnsi="IBM Plex Sans"/>
          <w:color w:val="0E0C19"/>
          <w:sz w:val="21"/>
          <w:szCs w:val="21"/>
        </w:rPr>
        <w:t xml:space="preserve">Fertige Rapporte lassen sich direkt aus ArcoTime versenden. Der Empfänger wird aus der Kundenadresse vorgeschlagen und ist überschreibbar, das PDF hängt an, und Zeitpunkt und Adresse bleiben am Rapport vermerkt – auch, damit ein zweiter Versand als solcher erkennbar ist. Ein Entwurf lässt sich nicht versenden: Erst mit dem Abschluss steht fest, was der Kunde bekommt.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10.13 Stornieren statt korrigieren</w:t>
      </w:r>
    </w:p>
    <w:p>
      <w:pPr>
        <w:spacing w:after="120"/>
      </w:pPr>
      <w:r>
        <w:rPr>
          <w:rFonts w:ascii="IBM Plex Sans" w:cs="IBM Plex Sans" w:eastAsia="IBM Plex Sans" w:hAnsi="IBM Plex Sans"/>
          <w:color w:val="0E0C19"/>
          <w:sz w:val="21"/>
          <w:szCs w:val="21"/>
        </w:rPr>
        <w:t xml:space="preserve">Ein abgeschlossener Rapport ist unveränderlich. Der Weg für Korrekturen ist deshalb das Storno: Der Rapport wird mit einem Grund ungültig gestellt und neu erstellt. Löschen wäre falsch – die Nummer ist vergeben, der Kunde hat womöglich ein PDF in der Hand, und beides muss nachvollziehbar bleiben.</w:t>
      </w:r>
    </w:p>
    <w:p>
      <w:pPr>
        <w:spacing w:after="120"/>
      </w:pPr>
      <w:r>
        <w:rPr>
          <w:rFonts w:ascii="IBM Plex Sans" w:cs="IBM Plex Sans" w:eastAsia="IBM Plex Sans" w:hAnsi="IBM Plex Sans"/>
          <w:color w:val="0E0C19"/>
          <w:sz w:val="21"/>
          <w:szCs w:val="21"/>
        </w:rPr>
        <w:t xml:space="preserve">Ein stornierter Rapport gilt dauerhaft als nie geleistet: Seine Positionen bleiben stehen, zählen aber nirgends mehr. Man muss sehen können, was ursprünglich verrechnet werden sollte. Sind Positionen bereits exportiert, wird das Storno abgelehnt – sie liegen in der Buchhaltung, und sie stillschweigend aus jeder Auswertung zu nehmen hiesse, eine Rechnung um ihre Grundlage zu bringen.</w:t>
      </w:r>
    </w:p>
    <w:p>
      <w:pPr>
        <w:spacing w:after="120"/>
      </w:pPr>
      <w:r>
        <w:rPr>
          <w:rFonts w:ascii="IBM Plex Sans" w:cs="IBM Plex Sans" w:eastAsia="IBM Plex Sans" w:hAnsi="IBM Plex Sans"/>
          <w:color w:val="0E0C19"/>
          <w:sz w:val="21"/>
          <w:szCs w:val="21"/>
        </w:rPr>
        <w:t xml:space="preserve">Umgesetzt ist das Storno als Datenbankfunktion mit erweiterten Rechten, aus demselben Grund wie der Abschluss: Die Sicherheitsregel lässt Änderungen nur zu, solange ein Rapport offen ist. Genau das soll sie auch – das Storno ist die eng umrissene Ausnahme, und sie gehört dorthin, wo die Regel steht, nicht in die Anwendung.</w:t>
      </w:r>
    </w:p>
    <w:p>
      <w:pPr>
        <w:spacing w:after="120"/>
      </w:pPr>
      <w:r>
        <w:rPr>
          <w:rFonts w:ascii="IBM Plex Sans" w:cs="IBM Plex Sans" w:eastAsia="IBM Plex Sans" w:hAnsi="IBM Plex Sans"/>
          <w:color w:val="0E0C19"/>
          <w:sz w:val="21"/>
          <w:szCs w:val="21"/>
        </w:rPr>
        <w:t xml:space="preserve">Anders als der Abschluss ist das Storno bewusst nicht auf die verantwortliche Person eingeschränkt. Es ist eine Korrektur des Büros und wird oft gerade dann gebraucht, wenn die verantwortliche Person nicht erreichbar ist.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10.14 Einsätze im Team</w:t>
      </w:r>
    </w:p>
    <w:p>
      <w:pPr>
        <w:spacing w:after="120"/>
      </w:pPr>
      <w:r>
        <w:rPr>
          <w:rFonts w:ascii="IBM Plex Sans" w:cs="IBM Plex Sans" w:eastAsia="IBM Plex Sans" w:hAnsi="IBM Plex Sans"/>
          <w:color w:val="0E0C19"/>
          <w:sz w:val="21"/>
          <w:szCs w:val="21"/>
        </w:rPr>
        <w:t xml:space="preserve">Ein Auftrag wird oft von mehreren Personen zusammen erledigt – eine Projektleiterin mit zwei Monteuren. Bis dahin kannte ein Rapport genau eine Person, und zwar zweimal: eine für die Ausführung und eine für die Planung. Zwei Quellen für dieselbe Aussage laufen auseinander, was in diesem Projekt bereits mehrfach passiert ist.</w:t>
      </w:r>
    </w:p>
    <w:p>
      <w:pPr>
        <w:spacing w:after="120"/>
      </w:pPr>
      <w:r>
        <w:rPr>
          <w:rFonts w:ascii="IBM Plex Sans" w:cs="IBM Plex Sans" w:eastAsia="IBM Plex Sans" w:hAnsi="IBM Plex Sans"/>
          <w:color w:val="0E0C19"/>
          <w:sz w:val="21"/>
          <w:szCs w:val="21"/>
        </w:rPr>
        <w:t xml:space="preserve">Neu hält eine eigene Tabelle alle Beteiligten, und das Feld im Rapportkopf behält eine klare Bedeutung: die verantwortliche Person. Projekte tragen dazu eine Projektleitung, die beim Anlegen eines Rapports vorgeschlagen wird – bei einem bestehenden Rapport dagegen nie nachgeführt, denn dort hat jemand bewusst gewählt.</w:t>
      </w:r>
    </w:p>
    <w:p>
      <w:pPr>
        <w:spacing w:after="120"/>
      </w:pPr>
      <w:r>
        <w:rPr>
          <w:rFonts w:ascii="IBM Plex Sans" w:cs="IBM Plex Sans" w:eastAsia="IBM Plex Sans" w:hAnsi="IBM Plex Sans"/>
          <w:color w:val="0E0C19"/>
          <w:sz w:val="21"/>
          <w:szCs w:val="21"/>
        </w:rPr>
        <w:t xml:space="preserve">Die Beteiligten sind reine Planung und keine Berechtigung. Wer nicht dazugehört, darf trotzdem Positionen erfassen; die Disposition etwa stellt Einsätze zusammen und fährt nie selbst mit. In der Tagesansicht der Disposition erscheint ein Einsatz dadurch in jeder Spalte seiner Beteiligten, bleibt aber ein einziger Balken: Verschieben bewegt ihn für alle.</w:t>
      </w:r>
    </w:p>
    <w:p>
      <w:pPr>
        <w:spacing w:after="120"/>
      </w:pPr>
      <w:r>
        <w:rPr>
          <w:rFonts w:ascii="IBM Plex Sans" w:cs="IBM Plex Sans" w:eastAsia="IBM Plex Sans" w:hAnsi="IBM Plex Sans"/>
          <w:color w:val="0E0C19"/>
          <w:sz w:val="21"/>
          <w:szCs w:val="21"/>
        </w:rPr>
        <w:t xml:space="preserve">Sind mehrere Personen beteiligt, trägt jede Stundenposition die Person, die sie geleistet hat; Material und Reisespesen brauchen das nicht, sie gehören zum Auftrag. Der Name steht zusätzlich in der ersten Zeile der Beschreibung, denn im Export ist das die einzige Spur, wem die Stunde gehört. Die Regel, welche Position wer ändern darf, musste dafür weichen: Bisher durfte das nur, wer sie erfasst hatte oder auf wen sie gebucht war – bei einem vom Büro vorbereiteten Rapport traf das auf keinen Monteur zu, und die Ablehnung kam lautlos.</w:t>
      </w:r>
    </w:p>
    <w:p>
      <w:pPr>
        <w:spacing w:after="120"/>
      </w:pPr>
      <w:r>
        <w:rPr>
          <w:rFonts w:ascii="IBM Plex Sans" w:cs="IBM Plex Sans" w:eastAsia="IBM Plex Sans" w:hAnsi="IBM Plex Sans"/>
          <w:color w:val="0E0C19"/>
          <w:sz w:val="21"/>
          <w:szCs w:val="21"/>
        </w:rPr>
        <w:t xml:space="preserve">Fällt jemand aus, übernimmt „Person ersetzen“ die neue Person samt allen noch nicht exportierten Stundenpositionen der bisherigen. Ohne diese Funktion müsste man die Teamzeile tauschen und danach jede Position einzeln umhängen und würde dabei welche vergessen. Exportierte Positionen bleiben unberührt: Wessen Stunden verrechnet wurden, ändert man nicht nachträglich.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10.15 Terminkonflikte sichtbar halten</w:t>
      </w:r>
    </w:p>
    <w:p>
      <w:pPr>
        <w:spacing w:after="120"/>
      </w:pPr>
      <w:r>
        <w:rPr>
          <w:rFonts w:ascii="IBM Plex Sans" w:cs="IBM Plex Sans" w:eastAsia="IBM Plex Sans" w:hAnsi="IBM Plex Sans"/>
          <w:color w:val="0E0C19"/>
          <w:sz w:val="21"/>
          <w:szCs w:val="21"/>
        </w:rPr>
        <w:t xml:space="preserve">Die Disposition warnt, statt zu sperren. Wird ein Einsatz auf einen Tag gezogen, an dem eine beteiligte Person nicht kann, erscheint eine Rückfrage mit Namen und Grund und daneben „Trotzdem verschieben“. Sperren wäre falsch: Bei einem Team würde eine einzige Abwesenheit den ganzen Einsatz festsetzen, und die Person wird ohnehin ersetzt.</w:t>
      </w:r>
    </w:p>
    <w:p>
      <w:pPr>
        <w:spacing w:after="120"/>
      </w:pPr>
      <w:r>
        <w:rPr>
          <w:rFonts w:ascii="IBM Plex Sans" w:cs="IBM Plex Sans" w:eastAsia="IBM Plex Sans" w:hAnsi="IBM Plex Sans"/>
          <w:color w:val="0E0C19"/>
          <w:sz w:val="21"/>
          <w:szCs w:val="21"/>
        </w:rPr>
        <w:t xml:space="preserve">Eine Rückfrage ist allerdings vergessen, sobald sie bestätigt ist – zwei Telefone und eine Mittagspause später weiss niemand mehr, dass an diesem Donnerstag jemand fehlt. Ein Plan, der nicht aufgeht, muss deshalb dauerhaft zu sehen sein: Der Balken im Zeitraster wird rot und trägt zuoberst „Achtung Terminkonflikt“ mit dem Grund im Klartext. Drei Fälle führen dazu – dieselbe Person doppelt eingeplant, eine beteiligte Person abwesend, oder ein Schliesstag der Organisation. Die Markierung verschwindet von selbst, sobald der Konflikt gelöst ist.</w:t>
      </w:r>
    </w:p>
    <w:p>
      <w:pPr>
        <w:spacing w:after="120"/>
      </w:pPr>
      <w:r>
        <w:rPr>
          <w:rFonts w:ascii="IBM Plex Sans" w:cs="IBM Plex Sans" w:eastAsia="IBM Plex Sans" w:hAnsi="IBM Plex Sans"/>
          <w:color w:val="0E0C19"/>
          <w:sz w:val="21"/>
          <w:szCs w:val="21"/>
        </w:rPr>
        <w:t xml:space="preserve">Die Testphase hat an dieser Stelle zwei Fehler zutage gefördert, die beide dieselbe Ursache hatten: eine Prüfung, die stillschweigend nichts fand. Die Abfrage der Abwesenheiten holte die Abwesenheitsart über einen Verbund, den es gar nicht gibt – der Schlüssel steht in der Abwesenheit, ein Fremdschlüssel darauf existiert nicht, weil die Art nur je Organisation eindeutig ist. Die Datenbank gab einen Fehler zurück, gelesen wurde aber nur das Ergebnis, und damit sah jeder Tag abwesenheitsfrei aus. Seither gilt: Eine gescheiterte Prüfung meldet sich, statt als „nichts gefunden“ durchzugehen.</w:t>
      </w:r>
    </w:p>
    <w:p>
      <w:pPr>
        <w:spacing w:after="120"/>
      </w:pPr>
      <w:r>
        <w:rPr>
          <w:rFonts w:ascii="IBM Plex Sans" w:cs="IBM Plex Sans" w:eastAsia="IBM Plex Sans" w:hAnsi="IBM Plex Sans"/>
          <w:color w:val="0E0C19"/>
          <w:sz w:val="21"/>
          <w:szCs w:val="21"/>
        </w:rPr>
        <w:t xml:space="preserve">Der zweite Fehler betraf halbtägige Abwesenheiten. Ein Kommentar im Quelltext behauptete seit jeher, sie zählten wie ein belegter Block; der Code prüfte nur ganztägige Einträge. Eine Weiterbildung von 08:00 bis 12:00 war für die Planung schlicht nicht vorhanden. Aufgefallen ist das erst durch die neue Konfliktmarkierung, die Halbtage von Anfang an mitrechnete und dem Disponenten einen Widerspruch zeigte, den keine Rückfrage je gemeldet hätte – ein gutes Argument dafür, denselben Sachverhalt an zwei Stellen unabhängig zu prüfen.</w:t>
      </w:r>
    </w:p>
    <w:p>
      <w:pPr>
        <w:spacing w:after="120"/>
      </w:pPr>
      <w:r>
        <w:rPr>
          <w:rFonts w:ascii="IBM Plex Sans" w:cs="IBM Plex Sans" w:eastAsia="IBM Plex Sans" w:hAnsi="IBM Plex Sans"/>
          <w:color w:val="0E0C19"/>
          <w:sz w:val="21"/>
          <w:szCs w:val="21"/>
        </w:rPr>
        <w:t xml:space="preserve">Verschoben wird mit der Maus, in Viertelstunden und in der Wochenansicht auch auf einen anderen Tag. Dass der Balken beim Loslassen dem Zeiger folgt, hatte eine unangenehme Nebenwirkung: Der Browser löste den Link darunter aus und wechselte auf die Rapportseite, während die Aktion noch lief – jede Rückfrage erschien damit auf einer Seite, die es nicht mehr gab. Der Balken merkt sich jetzt, ob er gezogen wurde, und unterdrückt in dem Fall den Klick; unterhalb von sechs Pixeln Bewegung beginnt gar kein Ziehen, ein gewöhnlicher Klick öffnet den Rapport also weiterhin.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11. Gleichzeitige Bearbeitung</w:t>
      </w:r>
    </w:p>
    <w:p>
      <w:pPr>
        <w:spacing w:after="120"/>
      </w:pPr>
      <w:r>
        <w:rPr>
          <w:rFonts w:ascii="IBM Plex Sans" w:cs="IBM Plex Sans" w:eastAsia="IBM Plex Sans" w:hAnsi="IBM Plex Sans"/>
          <w:color w:val="0E0C19"/>
          <w:sz w:val="21"/>
          <w:szCs w:val="21"/>
        </w:rPr>
        <w:t xml:space="preserve">Ein Teamrapport wird typischerweise von mehreren Seiten gleichzeitig angefasst: Die Disposition bereitet ihn vor, während der Monteur vor Ort seine Stunden einträgt. Ohne Vorkehrung überschreibt der zweite Speichervorgang die Arbeit des ersten, ohne dass jemand etwas merkt.</w:t>
      </w:r>
    </w:p>
    <w:p>
      <w:pPr>
        <w:spacing w:after="120"/>
      </w:pPr>
      <w:r>
        <w:rPr>
          <w:rFonts w:ascii="IBM Plex Sans" w:cs="IBM Plex Sans" w:eastAsia="IBM Plex Sans" w:hAnsi="IBM Plex Sans"/>
          <w:color w:val="0E0C19"/>
          <w:sz w:val="21"/>
          <w:szCs w:val="21"/>
        </w:rPr>
        <w:t xml:space="preserve">Die erste Vorkehrung ist eine Konfliktprüfung beim Speichern. Jedes Formular schickt den Stand mit, den es beim Öffnen vorgefunden hat; die Änderung greift nur, wenn der Datensatz seither unverändert ist. Andernfalls kommt die Eingabe zurück – mit dem Hinweis, wer inzwischen gespeichert hat, und der Aufforderung, die Änderungen zuerst anzusehen. Die Eingabe geht dabei nicht verloren, denn die Aktionen leiten im Fehlerfall nicht weiter, sondern geben das Formular mit seinem Inhalt zurück.</w:t>
      </w:r>
    </w:p>
    <w:p>
      <w:pPr>
        <w:spacing w:after="120"/>
      </w:pPr>
      <w:r>
        <w:rPr>
          <w:rFonts w:ascii="IBM Plex Sans" w:cs="IBM Plex Sans" w:eastAsia="IBM Plex Sans" w:hAnsi="IBM Plex Sans"/>
          <w:color w:val="0E0C19"/>
          <w:sz w:val="21"/>
          <w:szCs w:val="21"/>
        </w:rPr>
        <w:t xml:space="preserve">Die zweite Vorkehrung ist ein Präsenzhinweis: Wer einen Datensatz geöffnet hat, meldet das in kurzen Abständen, und die anderen sehen, dass jemand daran arbeitet. Der erste Entwurf hat dabei eine Lehre erzwungen. Er sperrte beide Seiten gegenseitig – beide sahen die Meldung, beide konnten nicht mehr speichern. Eine symmetrische Regel kann das gar nicht anders auflösen; seither zählt, wer zuerst da war. Diese Person behält das Recht zu speichern, die später hinzugekommene wird gewarnt.</w:t>
      </w:r>
    </w:p>
    <w:p>
      <w:pPr>
        <w:spacing w:after="120"/>
      </w:pPr>
      <w:r>
        <w:rPr>
          <w:rFonts w:ascii="IBM Plex Sans" w:cs="IBM Plex Sans" w:eastAsia="IBM Plex Sans" w:hAnsi="IBM Plex Sans"/>
          <w:color w:val="0E0C19"/>
          <w:sz w:val="21"/>
          <w:szCs w:val="21"/>
        </w:rPr>
        <w:t xml:space="preserve">Beide Vorkehrungen zusammen ergeben den Ablauf, der sich im Test bewährt hat: Das zweite Gerät meldet, dass jemand anders am selben Rapport arbeitet, und wenn dort trotzdem gespeichert wird, meldet die Konfliktprüfung, dass sich der Datensatz inzwischen geändert hat.</w:t>
      </w:r>
    </w:p>
    <w:p>
      <w:pPr>
        <w:spacing w:after="120"/>
      </w:pPr>
      <w:r>
        <w:rPr>
          <w:rFonts w:ascii="IBM Plex Sans" w:cs="IBM Plex Sans" w:eastAsia="IBM Plex Sans" w:hAnsi="IBM Plex Sans"/>
          <w:color w:val="0E0C19"/>
          <w:sz w:val="21"/>
          <w:szCs w:val="21"/>
        </w:rPr>
        <w:t xml:space="preserve">Zur selben Familie gehört eine Falle, die dieses Projekt mehrfach getroffen hat: Eine von der Sicherheitsregel abgelehnte Änderung kommt ohne Fehler zurück, nur mit null betroffenen Zeilen. Die Anwendung meldete „gespeichert“, und die Korrektur war weg. Jede ändernde Aktion prüft deshalb die Zahl der betroffenen Zeilen und nennt den Grund – fehlende Rechte, bereits exportiert, oder inzwischen gelöscht.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12. Persönliche Ansichten und Gruppen</w:t>
      </w:r>
    </w:p>
    <w:p>
      <w:pPr>
        <w:spacing w:after="120"/>
      </w:pPr>
      <w:r>
        <w:rPr>
          <w:rFonts w:ascii="IBM Plex Sans" w:cs="IBM Plex Sans" w:eastAsia="IBM Plex Sans" w:hAnsi="IBM Plex Sans"/>
          <w:color w:val="0E0C19"/>
          <w:sz w:val="21"/>
          <w:szCs w:val="21"/>
        </w:rPr>
        <w:t xml:space="preserve">Alle Listen lassen sich über einen Klick auf den Spaltenkopf sortieren; ein zweiter Klick dreht die Richtung. Die Sortierung steht in der Adresse und nicht im Browser: Die Seiten werden auf dem Server gerendert, und so überlebt die Ansicht ein Neuladen, lässt sich als Lesezeichen ablegen und weitergeben. Filter und Suchbegriffe bleiben dabei erhalten.</w:t>
      </w:r>
    </w:p>
    <w:p>
      <w:pPr>
        <w:spacing w:after="120"/>
      </w:pPr>
      <w:r>
        <w:rPr>
          <w:rFonts w:ascii="IBM Plex Sans" w:cs="IBM Plex Sans" w:eastAsia="IBM Plex Sans" w:hAnsi="IBM Plex Sans"/>
          <w:color w:val="0E0C19"/>
          <w:sz w:val="21"/>
          <w:szCs w:val="21"/>
        </w:rPr>
        <w:t xml:space="preserve">Welche Spalten eine Liste zeigt, entscheidet jede Person für sich. Der Bedarf ist verschieden: Die Buchhaltung will den Adress-Schlüssel und den Betrag sehen, die Disposition Telefonnummer und Ort, der Monteur möglichst wenig. Wer die Spalten für alle festlegt, hat immer für die Hälfte die falschen. Die Auswahl gehört zur Person und nicht zum Gerät und steht deshalb in der Datenbank – sonst wäre sie am Tablet wieder weg.</w:t>
      </w:r>
    </w:p>
    <w:p>
      <w:pPr>
        <w:spacing w:after="120"/>
      </w:pPr>
      <w:r>
        <w:rPr>
          <w:rFonts w:ascii="IBM Plex Sans" w:cs="IBM Plex Sans" w:eastAsia="IBM Plex Sans" w:hAnsi="IBM Plex Sans"/>
          <w:color w:val="0E0C19"/>
          <w:sz w:val="21"/>
          <w:szCs w:val="21"/>
        </w:rPr>
        <w:t xml:space="preserve">Damit die Auswahl etwas wert ist, bietet der Spaltenkatalog mehr an, als die Liste ungefragt zeigt: bei den Kunden zusätzlich Strasse, PLZ, Telefon und Rabatt, in der Zeiterfassung Von–bis, Kostenstelle, Beschreibung und Rabatt, bei den Rapporten die geplante Zeit, die Bemerkung, den Unterzeichner und das Versanddatum. Nicht abwählbar ist, was den Datensatz öffnet, sowie in der Mitarbeitendenliste die Spalten, an denen das Bearbeitungsformular und seine Knöpfe hängen.</w:t>
      </w:r>
    </w:p>
    <w:p>
      <w:pPr>
        <w:spacing w:after="120"/>
      </w:pPr>
      <w:r>
        <w:rPr>
          <w:rFonts w:ascii="IBM Plex Sans" w:cs="IBM Plex Sans" w:eastAsia="IBM Plex Sans" w:hAnsi="IBM Plex Sans"/>
          <w:color w:val="0E0C19"/>
          <w:sz w:val="21"/>
          <w:szCs w:val="21"/>
        </w:rPr>
        <w:t xml:space="preserve">Technisch hat das die Listen vereinfacht statt verkompliziert. Kopfzeile, Zelleninhalt und Sortierwert standen zuvor an drei Stellen jeder Seite, fünfmal fast gleich; wer eine Spalte hinzufügte, musste alle drei treffen. Jetzt beschreibt ein Katalog je Liste alle drei an einem Ort, und eine gemeinsame Komponente rendert daraus. Die Spaltenzahl der Leerzeile und die Summen der Zeiterfassung folgen den sichtbaren Spalten von selbst.</w:t>
      </w:r>
    </w:p>
    <w:p>
      <w:pPr>
        <w:spacing w:after="120"/>
      </w:pPr>
      <w:r>
        <w:rPr>
          <w:rFonts w:ascii="IBM Plex Sans" w:cs="IBM Plex Sans" w:eastAsia="IBM Plex Sans" w:hAnsi="IBM Plex Sans"/>
          <w:color w:val="0E0C19"/>
          <w:sz w:val="21"/>
          <w:szCs w:val="21"/>
        </w:rPr>
        <w:t xml:space="preserve">Gruppen fassen Mitarbeitende zusammen – „Team Ost“, „Sanitär“, „Lernende“. Bei drei Mitarbeitenden ist die Tagesansicht der Disposition übersichtlich, bei zwanzig nicht mehr: zwanzig Spalten, von denen ein Disponent morgens vielleicht sechs braucht. Der Gruppenfilter schränkt die Spalten ein – nicht die Einsätze: Ein Auftrag, an dem jemand aus der Gruppe beteiligt ist, bleibt sichtbar, auch wenn die übrigen Beteiligten anderswo hingehören. Sonst verschwände genau die Zusammenarbeit über Teamgrenzen hinweg, die man sehen will.</w:t>
      </w:r>
    </w:p>
    <w:p>
      <w:pPr>
        <w:spacing w:after="120"/>
      </w:pPr>
      <w:r>
        <w:rPr>
          <w:rFonts w:ascii="IBM Plex Sans" w:cs="IBM Plex Sans" w:eastAsia="IBM Plex Sans" w:hAnsi="IBM Plex Sans"/>
          <w:color w:val="0E0C19"/>
          <w:sz w:val="21"/>
          <w:szCs w:val="21"/>
        </w:rPr>
        <w:t xml:space="preserve">Am Rapport nimmt „Ganze Gruppe hinzufügen“ ein Team in einem Zug auf; der Regelfall in der Disposition ist „Team Ost fährt hin“ und nicht drei einzeln gewählte Namen. Eine Gruppe ist dabei ausdrücklich eine Sicht und keine Berechtigung: Wer in keiner Gruppe ist, sieht und darf genau gleich viel. Mehrfache Zugehörigkeit ist gewollt – der Springer gehört zu beiden Teams, und ihn zwingend einem zuzuordnen wäre eine Aussage, die im Betrieb niemand treffen kann.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13. Der Einsatz im Fahrzeug</w:t>
      </w:r>
    </w:p>
    <w:p>
      <w:pPr>
        <w:spacing w:after="120"/>
      </w:pPr>
      <w:r>
        <w:rPr>
          <w:rFonts w:ascii="IBM Plex Sans" w:cs="IBM Plex Sans" w:eastAsia="IBM Plex Sans" w:hAnsi="IBM Plex Sans"/>
          <w:color w:val="0E0C19"/>
          <w:sz w:val="21"/>
          <w:szCs w:val="21"/>
        </w:rPr>
        <w:t xml:space="preserve">Die Arbeit mit einem Rapport beginnt nicht am Schreibtisch, sondern im Fahrzeug. Der Monteur öffnet den Rapport des Kunden, den er besuchen will, startet die Navigation, misst die Fahrzeit und findet die Anfahrt bereits erfasst vor. Dieses Kapitel beschreibt die vier Teile, die zusammen diesen Ablauf tragen – und eine Annahme, die dabei aufgegeben wurde.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13.1 Anfahrt-Kilometer am Kunden</w:t>
      </w:r>
    </w:p>
    <w:p>
      <w:pPr>
        <w:spacing w:after="120"/>
      </w:pPr>
      <w:r>
        <w:rPr>
          <w:rFonts w:ascii="IBM Plex Sans" w:cs="IBM Plex Sans" w:eastAsia="IBM Plex Sans" w:hAnsi="IBM Plex Sans"/>
          <w:color w:val="0E0C19"/>
          <w:sz w:val="21"/>
          <w:szCs w:val="21"/>
        </w:rPr>
        <w:t xml:space="preserve">Die Distanz zu einem Kunden ist eine Eigenschaft dieses Kunden und ändert sich nie. Sie bei jedem Einsatz aus dem Kopf einzutippen ist die Sorte Arbeit, die eine Anwendung abnehmen soll – und jedes Mal eine Gelegenheit für einen Zahlendreher.</w:t>
      </w:r>
    </w:p>
    <w:p>
      <w:pPr>
        <w:spacing w:after="120"/>
      </w:pPr>
      <w:r>
        <w:rPr>
          <w:rFonts w:ascii="IBM Plex Sans" w:cs="IBM Plex Sans" w:eastAsia="IBM Plex Sans" w:hAnsi="IBM Plex Sans"/>
          <w:color w:val="0E0C19"/>
          <w:sz w:val="21"/>
          <w:szCs w:val="21"/>
        </w:rPr>
        <w:t xml:space="preserve">Der Kunde trägt deshalb ein Feld „Anfahrt km (verrechnet je Einsatz)“. Es heisst bewusst so und nicht „Distanz“: Sonst trägt die eine Person die einfache Strecke ein und die andere Hin und Zurück, und niemand merkt es, weil beides plausibel aussieht.</w:t>
      </w:r>
    </w:p>
    <w:p>
      <w:pPr>
        <w:spacing w:after="120"/>
      </w:pPr>
      <w:r>
        <w:rPr>
          <w:rFonts w:ascii="IBM Plex Sans" w:cs="IBM Plex Sans" w:eastAsia="IBM Plex Sans" w:hAnsi="IBM Plex Sans"/>
          <w:color w:val="0E0C19"/>
          <w:sz w:val="21"/>
          <w:szCs w:val="21"/>
        </w:rPr>
        <w:t xml:space="preserve">Naheliegend wäre nun eine fest eingebaute Dienstleistung „Reise-km“ gewesen, die es in jeder Organisation geben muss. Dagegen sprach das Prinzip, auf dem ArcoTime aufgebaut ist – nichts an den Auswahllisten ist fix im Code – und drei Fälle aus der Praxis: Die eine Organisation nennt es Wegpauschale, die andere Kilometergeld; manche haben mehrere Sätze für verschiedene Fahrzeuge; und wer keine Kilometer verrechnet, hätte eine Position, die er nicht löschen darf.</w:t>
      </w:r>
    </w:p>
    <w:p>
      <w:pPr>
        <w:spacing w:after="120"/>
      </w:pPr>
      <w:r>
        <w:rPr>
          <w:rFonts w:ascii="IBM Plex Sans" w:cs="IBM Plex Sans" w:eastAsia="IBM Plex Sans" w:hAnsi="IBM Plex Sans"/>
          <w:color w:val="0E0C19"/>
          <w:sz w:val="21"/>
          <w:szCs w:val="21"/>
        </w:rPr>
        <w:t xml:space="preserve">Stattdessen trägt ein Häkchen an der Dienstleistung die Aussage: „Anreise zum Kunden“. Beliebig viele Leistungen dürfen es haben, jede heisst, wie die Organisation will. Wird eine solche Leistung gewählt, erscheint die Kilometerzahl des Kunden als Menge – in der Zeiterfassung wie im Rapport, überschreibbar und danach am Eintrag eingefroren wie Preis, Rabatt und Mehrwertsteuersatz.</w:t>
      </w:r>
    </w:p>
    <w:p>
      <w:pPr>
        <w:spacing w:after="120"/>
      </w:pPr>
      <w:r>
        <w:rPr>
          <w:rFonts w:ascii="IBM Plex Sans" w:cs="IBM Plex Sans" w:eastAsia="IBM Plex Sans" w:hAnsi="IBM Plex Sans"/>
          <w:color w:val="0E0C19"/>
          <w:sz w:val="21"/>
          <w:szCs w:val="21"/>
        </w:rPr>
        <w:t xml:space="preserve">Ein drittes Abrechnungsmodell fällt damit ohne Zusatzaufwand an: Wer eine Anfahrtspauschale verrechnet, nimmt eine gewöhnliche Leistung mit Menge eins, ohne dass ArcoTime davon wissen muss.</w:t>
      </w:r>
    </w:p>
    <w:p>
      <w:pPr>
        <w:spacing w:after="120"/>
      </w:pPr>
      <w:r>
        <w:rPr>
          <w:rFonts w:ascii="IBM Plex Sans" w:cs="IBM Plex Sans" w:eastAsia="IBM Plex Sans" w:hAnsi="IBM Plex Sans"/>
          <w:color w:val="0E0C19"/>
          <w:sz w:val="21"/>
          <w:szCs w:val="21"/>
        </w:rPr>
        <w:t xml:space="preserve">Der Vorschlag gilt dem Auftrag und nicht der Person. Fahren drei Leute im selben Auto, fällt einmal Kilometergeld an, aber dreimal Fahrzeit – das Modell trifft das bereits, weil Mengenartikel keine Person tragen und Stundenpositionen eine (10.14). Die naheliegende Umsetzung „jeder trägt seine Anreise ein“ würde die Kilometer verdreifachen.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13.2 Standardpositionen</w:t>
      </w:r>
    </w:p>
    <w:p>
      <w:pPr>
        <w:spacing w:after="120"/>
      </w:pPr>
      <w:r>
        <w:rPr>
          <w:rFonts w:ascii="IBM Plex Sans" w:cs="IBM Plex Sans" w:eastAsia="IBM Plex Sans" w:hAnsi="IBM Plex Sans"/>
          <w:color w:val="0E0C19"/>
          <w:sz w:val="21"/>
          <w:szCs w:val="21"/>
        </w:rPr>
        <w:t xml:space="preserve">Ein Einsatz beginnt in vielen Betrieben immer gleich: Anfahrt und Fahrzeit, in manchen Branchen zusätzlich eine Kleinmaterialpauschale. Bisher tippte das jemand bei jedem Rapport von Hand – und wenn es eilte, vergass er es.</w:t>
      </w:r>
    </w:p>
    <w:p>
      <w:pPr>
        <w:spacing w:after="120"/>
      </w:pPr>
      <w:r>
        <w:rPr>
          <w:rFonts w:ascii="IBM Plex Sans" w:cs="IBM Plex Sans" w:eastAsia="IBM Plex Sans" w:hAnsi="IBM Plex Sans"/>
          <w:color w:val="0E0C19"/>
          <w:sz w:val="21"/>
          <w:szCs w:val="21"/>
        </w:rPr>
        <w:t xml:space="preserve">Unter Einstellungen legt die Organisation deshalb fest, womit ein neuer Rapport beginnt. Wer nichts pflegt, merkt keinen Unterschied: Der Rapport entsteht wie bisher leer. Trägt eine Standardposition das Anreise-Häkchen, schlägt die Kilometerzahl des Kunden die hinterlegte Vorgabe – der Rapport für einen Kunden mit 24 hinterlegten Kilometern beginnt also mit genau diesen 24, ohne dass jemand etwas eintippt.</w:t>
      </w:r>
    </w:p>
    <w:p>
      <w:pPr>
        <w:spacing w:after="120"/>
      </w:pPr>
      <w:r>
        <w:rPr>
          <w:rFonts w:ascii="IBM Plex Sans" w:cs="IBM Plex Sans" w:eastAsia="IBM Plex Sans" w:hAnsi="IBM Plex Sans"/>
          <w:color w:val="0E0C19"/>
          <w:sz w:val="21"/>
          <w:szCs w:val="21"/>
        </w:rPr>
        <w:t xml:space="preserve">Die Vorgabe ist zwingend und grösser als null. Der ursprüngliche Entwurf sah ein leeres Feld für die Fahrzeit vor, die der Timer später füllt; die Datenbank lässt das nicht zu, denn eine Position ohne Menge und ohne Dauer gibt es nicht. Für die Fahrzeit trägt das Büro also eine Annahme ein, die der Monteur korrigiert oder der Timer überschreibt – was zum vorbereiteten Rapport ohnehin besser passt.</w:t>
      </w:r>
    </w:p>
    <w:p>
      <w:pPr>
        <w:spacing w:after="120"/>
      </w:pPr>
      <w:r>
        <w:rPr>
          <w:rFonts w:ascii="IBM Plex Sans" w:cs="IBM Plex Sans" w:eastAsia="IBM Plex Sans" w:hAnsi="IBM Plex Sans"/>
          <w:color w:val="0E0C19"/>
          <w:sz w:val="21"/>
          <w:szCs w:val="21"/>
        </w:rPr>
        <w:t xml:space="preserve">Der Rabatt folgt derselben Reihenfolge wie im Erfassungsformular: gesperrte Leistung, dann Klassenrabatt des Kunden, dann sein Standardsatz. Eine automatisch angelegte Position muss denselben Preis ergeben wie eine von Hand erfasste, sonst hinge der Rabatt davon ab, auf welchem Weg die Zeile entstanden ist.</w:t>
      </w:r>
    </w:p>
    <w:p>
      <w:pPr>
        <w:spacing w:after="120"/>
      </w:pPr>
      <w:r>
        <w:rPr>
          <w:rFonts w:ascii="IBM Plex Sans" w:cs="IBM Plex Sans" w:eastAsia="IBM Plex Sans" w:hAnsi="IBM Plex Sans"/>
          <w:color w:val="0E0C19"/>
          <w:sz w:val="21"/>
          <w:szCs w:val="21"/>
        </w:rPr>
        <w:t xml:space="preserve">Angelegt werden die Positionen nur, wenn der Rapport ein Projekt hat. Damit hängt eine Änderung zusammen, die im Test auffiel: Ein Rapport verlangt seither zwingend ein Projekt. Ohne Projekt lässt sich weder eine Position erfassen noch eine Standardposition übernehmen – der Rapport konnte also nichts und sah trotzdem aus wie einer. Genau diese Hülle hat im Test die Frage ausgelöst, warum die Standardpositionen fehlen.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13.3 Der Timer an der Position</w:t>
      </w:r>
    </w:p>
    <w:p>
      <w:pPr>
        <w:spacing w:after="120"/>
      </w:pPr>
      <w:r>
        <w:rPr>
          <w:rFonts w:ascii="IBM Plex Sans" w:cs="IBM Plex Sans" w:eastAsia="IBM Plex Sans" w:hAnsi="IBM Plex Sans"/>
          <w:color w:val="0E0C19"/>
          <w:sz w:val="21"/>
          <w:szCs w:val="21"/>
        </w:rPr>
        <w:t xml:space="preserve">Bis dahin galt: „Einen Timer gibt es im Rapport bewusst nicht – wer einen Rapport schreibt, ist mit der Arbeit fertig.“ Die Annahme war falsch. Der Rapport wird auch während des Einsatzes benutzt, aus dem Fahrzeug heraus. Der geschilderte Ablauf ist der Massstab: Der Monteur öffnet den Rapport, startet an der Fahrzeit den Timer, fährt los und stoppt bei der Ankunft.</w:t>
      </w:r>
    </w:p>
    <w:p>
      <w:pPr>
        <w:spacing w:after="120"/>
      </w:pPr>
      <w:r>
        <w:rPr>
          <w:rFonts w:ascii="IBM Plex Sans" w:cs="IBM Plex Sans" w:eastAsia="IBM Plex Sans" w:hAnsi="IBM Plex Sans"/>
          <w:color w:val="0E0C19"/>
          <w:sz w:val="21"/>
          <w:szCs w:val="21"/>
        </w:rPr>
        <w:t xml:space="preserve">Technisch war das fast geschenkt, weil eine Rapportposition ein gewöhnlicher Zeiteintrag ist und der Timer dort seit langem existiert. Die Arbeit lag in der Bedienung. Zwei Berührungen insgesamt, ein Knopf von mindestens 44 Pixel Höhe – das ist die Grösse, die sich mit dem Daumen sicher treffen lässt. Läuft der Timer, steht ein breiter Stoppknopf mit der laufenden Zeit zuoberst über den Positionen: Wer bei der Ankunft erst die richtige Zeile in einer Tabelle suchen muss, tut es während der Fahrt.</w:t>
      </w:r>
    </w:p>
    <w:p>
      <w:pPr>
        <w:spacing w:after="120"/>
      </w:pPr>
      <w:r>
        <w:rPr>
          <w:rFonts w:ascii="IBM Plex Sans" w:cs="IBM Plex Sans" w:eastAsia="IBM Plex Sans" w:hAnsi="IBM Plex Sans"/>
          <w:color w:val="0E0C19"/>
          <w:sz w:val="21"/>
          <w:szCs w:val="21"/>
        </w:rPr>
        <w:t xml:space="preserve">Gerechnet wird ab dem gespeicherten Startzeitpunkt und nicht ab dem Öffnen der Seite. So stimmt die Zeit auch, wenn das Telefon zwischendurch im Ruhezustand war oder der Rapport auf einem anderen Gerät geöffnet wird. Es läuft ein Timer je Person; ein zweiter wäre eine Zeit, die es nicht gibt, und beim Stoppen wüsste niemand, welche gemeint ist.</w:t>
      </w:r>
    </w:p>
    <w:p>
      <w:pPr>
        <w:spacing w:after="120"/>
      </w:pPr>
      <w:r>
        <w:rPr>
          <w:rFonts w:ascii="IBM Plex Sans" w:cs="IBM Plex Sans" w:eastAsia="IBM Plex Sans" w:hAnsi="IBM Plex Sans"/>
          <w:color w:val="0E0C19"/>
          <w:sz w:val="21"/>
          <w:szCs w:val="21"/>
        </w:rPr>
        <w:t xml:space="preserve">Ein laufender Timer erscheint zusätzlich als Zeichen in der Navigation – dort, wo er läuft: am Rapport oder in der Zeiterfassung. Der vergessene Timer vom Freitagabend wäre sonst der erste Supportfall. Eine automatische Beendigung nach einigen Stunden ist bewusst nicht eingebaut: Ein Timer, der sich selbst beendet, erfindet eine Zeit, die niemand geleistet hat, und das ist nicht offensichtlich besser als einer, der sichtbar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13.4 Navigation und Anruf</w:t>
      </w:r>
    </w:p>
    <w:p>
      <w:pPr>
        <w:spacing w:after="120"/>
      </w:pPr>
      <w:r>
        <w:rPr>
          <w:rFonts w:ascii="IBM Plex Sans" w:cs="IBM Plex Sans" w:eastAsia="IBM Plex Sans" w:hAnsi="IBM Plex Sans"/>
          <w:color w:val="0E0C19"/>
          <w:sz w:val="21"/>
          <w:szCs w:val="21"/>
        </w:rPr>
        <w:t xml:space="preserve">Ein offener Rapport zeigt zuoberst die Adresse des Kunden mit einem Knopf „Navigation“ und die Telefonnummer zum Antippen. Das ist der Moment vor der Abfahrt, und dafür soll niemand durch den Rapport scrollen.</w:t>
      </w:r>
    </w:p>
    <w:p>
      <w:pPr>
        <w:spacing w:after="120"/>
      </w:pPr>
      <w:r>
        <w:rPr>
          <w:rFonts w:ascii="IBM Plex Sans" w:cs="IBM Plex Sans" w:eastAsia="IBM Plex Sans" w:hAnsi="IBM Plex Sans"/>
          <w:color w:val="0E0C19"/>
          <w:sz w:val="21"/>
          <w:szCs w:val="21"/>
        </w:rPr>
        <w:t xml:space="preserve">Technisch sind das Links und sonst nichts: keine Programmschnittstelle, kein Schlüssel, keine laufenden Kosten, kein fremder Programmcode auf der Seite. Auf dem Telefon öffnet sich die Karten-App, sofern installiert, sonst der Browser; daneben führt ein kleiner Link zu Apple Karten. Wird die Navigation dort gestartet, läuft sie auf CarPlay oder Android Auto weiter – dafür braucht ArcoTime nichts.</w:t>
      </w:r>
    </w:p>
    <w:p>
      <w:pPr>
        <w:spacing w:after="120"/>
      </w:pPr>
      <w:r>
        <w:rPr>
          <w:rFonts w:ascii="IBM Plex Sans" w:cs="IBM Plex Sans" w:eastAsia="IBM Plex Sans" w:hAnsi="IBM Plex Sans"/>
          <w:color w:val="0E0C19"/>
          <w:sz w:val="21"/>
          <w:szCs w:val="21"/>
        </w:rPr>
        <w:t xml:space="preserve">Ein grosser Knopf und ein kleiner Link statt zweier gleichwertiger Ziele: Im Auto zählt jede Berührung, und eine Auswahl ist eine zu viel. Ohne hinterlegte Adresse erscheint gar nichts, denn ein Navigationslink auf einen blossen Firmennamen führt irgendwohin.</w:t>
      </w:r>
    </w:p>
    <w:p>
      <w:pPr>
        <w:spacing w:after="120"/>
      </w:pPr>
      <w:r>
        <w:rPr>
          <w:rFonts w:ascii="IBM Plex Sans" w:cs="IBM Plex Sans" w:eastAsia="IBM Plex Sans" w:hAnsi="IBM Plex Sans"/>
          <w:color w:val="0E0C19"/>
          <w:sz w:val="21"/>
          <w:szCs w:val="21"/>
        </w:rPr>
        <w:t xml:space="preserve">Der Datenschutz ist an dieser Stelle unkritisch, aber nicht selbstverständlich: Die Adresse verlässt ArcoTime erst, wenn jemand tippt. Es wird nichts im Hintergrund abgefragt. Das ist der Unterschied zu einem Kartendienst für die automatische Distanzberechnung, von dem bewusst abgesehen wurde – dort fragte der Server für jeden Kunden ab, mit laufenden Kosten und Kundenadressen ausser Haus, für einen Wert, den man einmal pro Kunde einträgt und der sich nie ändert.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14. Datenpflege und Nachvollziehbarkeit</w:t>
      </w:r>
    </w:p>
    <w:p>
      <w:pPr>
        <w:spacing w:after="120"/>
      </w:pPr>
      <w:r>
        <w:rPr>
          <w:rFonts w:ascii="IBM Plex Sans" w:cs="IBM Plex Sans" w:eastAsia="IBM Plex Sans" w:hAnsi="IBM Plex Sans"/>
          <w:color w:val="0E0C19"/>
          <w:sz w:val="21"/>
          <w:szCs w:val="21"/>
        </w:rPr>
        <w:t xml:space="preserve">Migration 0033 hat per Datenbankbefehl in die Inhalte aller Organisationen eingegriffen, um Strasse und Hausnummer zu trennen. Solange alle Mandanten derselben Person gehören, ist das unkritisch. Sobald ArcoTime an fremde Betriebe verkauft wird, ist es ein Vertrauensthema – und zwar eines, das sich nicht durch weniger Zugriff lösen lässt: Als Auftragsbearbeiter braucht Arcos vollen Zugriff auf die Datenbank, für Sicherungen, Fehlerkorrekturen und Migrationen. Das zu verschleiern wäre schlechter, als es zu benennen.</w:t>
      </w:r>
    </w:p>
    <w:p>
      <w:pPr>
        <w:spacing w:after="120"/>
      </w:pPr>
      <w:r>
        <w:rPr>
          <w:rFonts w:ascii="IBM Plex Sans" w:cs="IBM Plex Sans" w:eastAsia="IBM Plex Sans" w:hAnsi="IBM Plex Sans"/>
          <w:color w:val="0E0C19"/>
          <w:sz w:val="21"/>
          <w:szCs w:val="21"/>
        </w:rPr>
        <w:t xml:space="preserve">Die Antwort besteht deshalb aus zwei Teilen: Änderungen an Altdaten laufen je Organisation und mit einem Rückweg, und jede Änderung ist im Nachhinein einsehbar.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14.1 Drei Klassen von Änderungen</w:t>
      </w:r>
    </w:p>
    <w:p>
      <w:pPr>
        <w:spacing w:after="120"/>
      </w:pPr>
      <w:r>
        <w:rPr>
          <w:rFonts w:ascii="IBM Plex Sans" w:cs="IBM Plex Sans" w:eastAsia="IBM Plex Sans" w:hAnsi="IBM Plex Sans"/>
          <w:color w:val="0E0C19"/>
          <w:sz w:val="21"/>
          <w:szCs w:val="21"/>
        </w:rPr>
        <w:t xml:space="preserve">Nicht jede Anpassung ist gleich. Unterschieden werden drei Klassen. Änderungen am Schema – neue Spalten, Regeln, Views – laufen sofort für alle Organisationen; hier ist nichts zu tun und nichts zu entscheiden. Änderungen an der Datenqualität – bestehende Werte umformen – löst jede Organisation selbst aus, wenn es ihr passt. Korrektheit und Sicherheit schliesslich laufen wieder sofort für alle, mit Information danach statt Zustimmung davor: Ein Prozess, der Arcos im Ernstfall blockiert, wäre ein schlechter Prozess.</w:t>
      </w:r>
    </w:p>
    <w:p>
      <w:pPr>
        <w:spacing w:after="120"/>
      </w:pPr>
      <w:r>
        <w:rPr>
          <w:rFonts w:ascii="IBM Plex Sans" w:cs="IBM Plex Sans" w:eastAsia="IBM Plex Sans" w:hAnsi="IBM Plex Sans"/>
          <w:color w:val="0E0C19"/>
          <w:sz w:val="21"/>
          <w:szCs w:val="21"/>
        </w:rPr>
        <w:t xml:space="preserve">Die wichtigste Regel dabei lautet: Das Schema wird niemals je Organisation freigeschaltet, nur die Bereinigung der Altdaten. Andernfalls liefen mehrere Datenmodelle gleichzeitig in Produktion, jeder Lesepfad bräuchte dauerhaft beide Varianten – und ein Teil der Kunden drückt nie auf den Knopf. Richtig ist: Die Spalte entsteht für alle sofort, der Code kommt mit einem leeren Wert zurecht, und das Umformen der Altwerte geschieht je Mandant im eigenen Tempo.</w:t>
      </w:r>
    </w:p>
    <w:p>
      <w:pPr>
        <w:spacing w:after="120"/>
      </w:pPr>
      <w:r>
        <w:rPr>
          <w:rFonts w:ascii="IBM Plex Sans" w:cs="IBM Plex Sans" w:eastAsia="IBM Plex Sans" w:hAnsi="IBM Plex Sans"/>
          <w:color w:val="0E0C19"/>
          <w:sz w:val="21"/>
          <w:szCs w:val="21"/>
        </w:rPr>
        <w:t xml:space="preserve">Geschützt wird dabei nicht über Einwilligung, sondern über Rückholbarkeit. Ein Kunde kann nicht beurteilen, ob eine Heuristik für seine achthundert Adressen passt; seine Zustimmung wäre eine Unterschrift ins Blaue. Ein „rückgängig“ ist der echte Schutz. Deshalb zeigt jede Sammelaktion vorher Zeile für Zeile, was sie täte, bewahrt beim Ausführen die alten Werte auf und lässt sich danach zurücknehmen. Eine Frist mit Pflicht-Mail an alle Administratoren war ursprünglich angedacht und wurde verworfen: Eine Frist, die sich nicht durchsetzen lässt, erzeugt nur Supportaufwand. Der Hinweis im Adminbereich darf liegen bleiben.</w:t>
      </w:r>
    </w:p>
    <w:p>
      <w:pPr>
        <w:spacing w:after="120"/>
      </w:pPr>
      <w:r>
        <w:rPr>
          <w:rFonts w:ascii="IBM Plex Sans" w:cs="IBM Plex Sans" w:eastAsia="IBM Plex Sans" w:hAnsi="IBM Plex Sans"/>
          <w:color w:val="0E0C19"/>
          <w:sz w:val="21"/>
          <w:szCs w:val="21"/>
        </w:rPr>
        <w:t xml:space="preserve">Der Bereich enthält daneben Prüfungen, die nichts anfassen: Kunden ohne Ort, ohne E-Mail-Adresse, ohne Anfahrt-Kilometer, aktive Projekte ohne Projektleitung. Sie zählen und verlinken auf die Liste, in der sich die Lücke schliessen lässt. Was fehlt, merkt man sonst erst, wenn es fehlt – beim Versand ohne Adresse, im Brief ohne Ort.</w:t>
      </w:r>
    </w:p>
    <w:p>
      <w:pPr>
        <w:spacing w:after="120"/>
      </w:pPr>
      <w:r>
        <w:rPr>
          <w:rFonts w:ascii="IBM Plex Sans" w:cs="IBM Plex Sans" w:eastAsia="IBM Plex Sans" w:hAnsi="IBM Plex Sans"/>
          <w:color w:val="0E0C19"/>
          <w:sz w:val="21"/>
          <w:szCs w:val="21"/>
        </w:rPr>
        <w:t xml:space="preserve">Ausgeführte Läufe bleiben stehen, auch zurückgenommene. Sie zu löschen hiesse, die Spur zu verwischen, und genau die ist der Zweck.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14.2 Das Änderungsprotokoll</w:t>
      </w:r>
    </w:p>
    <w:p>
      <w:pPr>
        <w:spacing w:after="120"/>
      </w:pPr>
      <w:r>
        <w:rPr>
          <w:rFonts w:ascii="IBM Plex Sans" w:cs="IBM Plex Sans" w:eastAsia="IBM Plex Sans" w:hAnsi="IBM Plex Sans"/>
          <w:color w:val="0E0C19"/>
          <w:sz w:val="21"/>
          <w:szCs w:val="21"/>
        </w:rPr>
        <w:t xml:space="preserve">Entscheidend ist, an welcher Stelle protokolliert wird. In der Anwendung mitzuschreiben wäre einfacher gewesen, hätte aber genau den Fall verfehlt, der den Anlass gab: einen Eingriff über den Datenbank-Editor. Ein Trigger in der Datenbank sieht jede Änderung, gleich über welchen Weg sie kommt.</w:t>
      </w:r>
    </w:p>
    <w:p>
      <w:pPr>
        <w:spacing w:after="120"/>
      </w:pPr>
      <w:r>
        <w:rPr>
          <w:rFonts w:ascii="IBM Plex Sans" w:cs="IBM Plex Sans" w:eastAsia="IBM Plex Sans" w:hAnsi="IBM Plex Sans"/>
          <w:color w:val="0E0C19"/>
          <w:sz w:val="21"/>
          <w:szCs w:val="21"/>
        </w:rPr>
        <w:t xml:space="preserve">Daran ist zugleich zu erkennen, wer gehandelt hat. Bei einer Änderung aus der Anwendung steht die angemeldete Person zur Verfügung, bei einem direkten Datenbankzugriff nicht. Ein leeres Feld bedeutet hier also nicht „unbekannt“, sondern „am Anmeldeweg vorbei“ – und wird in der Anzeige ausdrücklich als Zugriff durch Arcos benannt, hervorgehoben statt versteckt.</w:t>
      </w:r>
    </w:p>
    <w:p>
      <w:pPr>
        <w:spacing w:after="120"/>
      </w:pPr>
      <w:r>
        <w:rPr>
          <w:rFonts w:ascii="IBM Plex Sans" w:cs="IBM Plex Sans" w:eastAsia="IBM Plex Sans" w:hAnsi="IBM Plex Sans"/>
          <w:color w:val="0E0C19"/>
          <w:sz w:val="21"/>
          <w:szCs w:val="21"/>
        </w:rPr>
        <w:t xml:space="preserve">Aufgezeichnet werden Stammdaten, Belege, Konten und Auswahllisten – gespeichert wird jeweils nur, was sich tatsächlich geändert hat, mit altem und neuem Wert. Ein Speichern ohne Änderung erzeugt keinen Eintrag. Nicht erfasst sind Tabellen, die den Betrieb der Anwendung selbst betreffen: Präsenzmeldungen, Spaltenauswahl, das Protokoll selbst; dort entstünde Rauschen ohne Aussage über die Daten der Organisation.</w:t>
      </w:r>
    </w:p>
    <w:p>
      <w:pPr>
        <w:spacing w:after="120"/>
      </w:pPr>
      <w:r>
        <w:rPr>
          <w:rFonts w:ascii="IBM Plex Sans" w:cs="IBM Plex Sans" w:eastAsia="IBM Plex Sans" w:hAnsi="IBM Plex Sans"/>
          <w:color w:val="0E0C19"/>
          <w:sz w:val="21"/>
          <w:szCs w:val="21"/>
        </w:rPr>
        <w:t xml:space="preserve">Das Protokoll kennt bewusst keine Regel zum Einfügen, Ändern oder Löschen. Niemand kann Einträge entfernen – auch der Administrator der Organisation nicht, und über die Anwendung auch Arcos nicht. Geschrieben wird ausschliesslich vom Trigger, der mit erweiterten Rechten läuft. Ein Protokoll, das sich ändern lässt, wäre keines.</w:t>
      </w:r>
    </w:p>
    <w:p>
      <w:pPr>
        <w:spacing w:after="120"/>
      </w:pPr>
      <w:r>
        <w:rPr>
          <w:rFonts w:ascii="IBM Plex Sans" w:cs="IBM Plex Sans" w:eastAsia="IBM Plex Sans" w:hAnsi="IBM Plex Sans"/>
          <w:color w:val="0E0C19"/>
          <w:sz w:val="21"/>
          <w:szCs w:val="21"/>
        </w:rPr>
        <w:t xml:space="preserve">Offen bleibt der dritte Teil des Vorhabens: ein Auftragsbearbeitungsvertrag als Bestandteil der Nutzungsbedingungen. Er wird fällig, sobald die erste fremde Organisation dazukommt, und ist ein Vertragstext und keine Funktion.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