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before="500"/>
      </w:pPr>
    </w:p>
    <w:p>
      <w:pPr>
        <w:jc w:val="center"/>
      </w:pPr>
      <w:r>
        <w:rPr>
          <w:rFonts w:ascii="IBM Plex Sans Condensed" w:cs="IBM Plex Sans Condensed" w:eastAsia="IBM Plex Sans Condensed" w:hAnsi="IBM Plex Sans Condensed"/>
          <w:b/>
          <w:bCs/>
          <w:color w:val="1D3557"/>
          <w:sz w:val="72"/>
          <w:szCs w:val="72"/>
        </w:rPr>
        <w:t xml:space="preserve">ArcoTime</w:t>
      </w:r>
    </w:p>
    <w:p>
      <w:pPr>
        <w:spacing w:after="80" w:before="120"/>
        <w:jc w:val="center"/>
      </w:pPr>
      <w:r>
        <w:rPr>
          <w:rFonts w:ascii="IBM Plex Sans Condensed" w:cs="IBM Plex Sans Condensed" w:eastAsia="IBM Plex Sans Condensed" w:hAnsi="IBM Plex Sans Condensed"/>
          <w:b/>
          <w:bCs/>
          <w:color w:val="457B9D"/>
          <w:sz w:val="36"/>
          <w:szCs w:val="36"/>
        </w:rPr>
        <w:t xml:space="preserve">Projektdokumentation</w:t>
      </w:r>
    </w:p>
    <w:p>
      <w:pPr>
        <w:spacing w:after="700" w:before="40"/>
        <w:jc w:val="center"/>
      </w:pPr>
      <w:r>
        <w:rPr>
          <w:rFonts w:ascii="IBM Plex Sans" w:cs="IBM Plex Sans" w:eastAsia="IBM Plex Sans" w:hAnsi="IBM Plex Sans"/>
          <w:i/>
          <w:iCs/>
          <w:color w:val="333333"/>
          <w:sz w:val="22"/>
          <w:szCs w:val="22"/>
        </w:rPr>
        <w:t xml:space="preserve">Smart planen. Besser arbeiten.</w:t>
      </w:r>
    </w:p>
    <w:p>
      <w:pPr>
        <w:pBdr>
          <w:top w:val="single" w:color="457B9D" w:sz="6" w:space="12"/>
        </w:pBdr>
        <w:spacing w:before="400"/>
        <w:jc w:val="center"/>
      </w:pPr>
    </w:p>
    <w:p>
      <w:pPr>
        <w:spacing w:before="200"/>
        <w:jc w:val="center"/>
      </w:pPr>
      <w:r>
        <w:rPr>
          <w:rFonts w:ascii="IBM Plex Sans" w:cs="IBM Plex Sans" w:eastAsia="IBM Plex Sans" w:hAnsi="IBM Plex Sans"/>
          <w:color w:val="333333"/>
          <w:sz w:val="20"/>
          <w:szCs w:val="20"/>
        </w:rPr>
        <w:t xml:space="preserve">Stand: 14. August 2026</w:t>
      </w:r>
    </w:p>
    <w:p>
      <w:pPr>
        <w:spacing w:before="60"/>
        <w:jc w:val="center"/>
      </w:pPr>
      <w:r>
        <w:rPr>
          <w:rFonts w:ascii="IBM Plex Sans" w:cs="IBM Plex Sans" w:eastAsia="IBM Plex Sans" w:hAnsi="IBM Plex Sans"/>
          <w:color w:val="333333"/>
          <w:sz w:val="20"/>
          <w:szCs w:val="20"/>
        </w:rPr>
        <w:t xml:space="preserve">Erstellt für Arcos Group</w:t>
      </w:r>
    </w:p>
    <w:p>
      <w:pPr>
        <w:spacing w:before="700"/>
        <w:jc w:val="center"/>
      </w:pPr>
      <w:r>
        <w:drawing>
          <wp:inline distT="0" distB="0" distL="0" distR="0">
            <wp:extent cx="2095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333375"/>
                    </a:xfrm>
                    <a:prstGeom prst="rect">
                      <a:avLst/>
                    </a:prstGeom>
                  </pic:spPr>
                </pic:pic>
              </a:graphicData>
            </a:graphic>
          </wp:inline>
        </w:drawing>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1. Überblick</w:t>
      </w:r>
    </w:p>
    <w:p>
      <w:pPr>
        <w:spacing w:after="140"/>
      </w:pPr>
      <w:r>
        <w:rPr>
          <w:rFonts w:ascii="IBM Plex Sans" w:cs="IBM Plex Sans" w:eastAsia="IBM Plex Sans" w:hAnsi="IBM Plex Sans"/>
          <w:color w:val="333333"/>
          <w:sz w:val="21"/>
          <w:szCs w:val="21"/>
        </w:rPr>
        <w:t xml:space="preserve">ArcoTime ist eine massgeschneiderte Zeiterfassungs- und CRM-Anwendung für die Arcos Group. Sie deckt den gesamten Arbeitsalltag ab: von der Kundenakquise (Anfragenverwaltung) über die Projektarbeit (Zeiterfassung mit Timer) bis zur Rechnungsstellung (Excel-Export im Comatic-Format).</w:t>
      </w:r>
    </w:p>
    <w:p>
      <w:pPr>
        <w:spacing w:after="140"/>
      </w:pPr>
      <w:r>
        <w:rPr>
          <w:rFonts w:ascii="IBM Plex Sans" w:cs="IBM Plex Sans" w:eastAsia="IBM Plex Sans" w:hAnsi="IBM Plex Sans"/>
          <w:color w:val="333333"/>
          <w:sz w:val="21"/>
          <w:szCs w:val="21"/>
        </w:rPr>
        <w:t xml:space="preserve">Die Anwendung ist als Software-as-a-Service mit echter Mandantenfähigkeit aufgebaut: mehrere Organisationen können dieselbe Installation nutzen, ohne gegenseitigen Datenzugriff. Aktuell läuft ArcoTime im internen Betrieb für die Arcos Group selbst; bei Bedarf können weitere Kundenorganisationen ergänzt werden, ohne den Code anzupassen.</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Kernnutzen</w:t>
      </w:r>
    </w:p>
    <w:p>
      <w:pPr>
        <w:pStyle w:val="ListParagraph"/>
        <w:numPr>
          <w:ilvl w:val="0"/>
          <w:numId w:val="2"/>
        </w:numPr>
        <w:spacing w:after="60"/>
      </w:pPr>
      <w:r>
        <w:rPr>
          <w:rFonts w:ascii="IBM Plex Sans" w:cs="IBM Plex Sans" w:eastAsia="IBM Plex Sans" w:hAnsi="IBM Plex Sans"/>
          <w:b/>
          <w:bCs/>
          <w:color w:val="0E0C19"/>
          <w:sz w:val="21"/>
          <w:szCs w:val="21"/>
        </w:rPr>
        <w:t xml:space="preserve">Ein System statt drei: </w:t>
      </w:r>
      <w:r>
        <w:rPr>
          <w:rFonts w:ascii="IBM Plex Sans" w:cs="IBM Plex Sans" w:eastAsia="IBM Plex Sans" w:hAnsi="IBM Plex Sans"/>
          <w:color w:val="333333"/>
          <w:sz w:val="21"/>
          <w:szCs w:val="21"/>
        </w:rPr>
        <w:t xml:space="preserve">Zeiterfassung, Kundenverwaltung und Anfragen-Pipeline in einer Anwendung statt in separaten Excel-Listen oder Tools.</w:t>
      </w:r>
    </w:p>
    <w:p>
      <w:pPr>
        <w:pStyle w:val="ListParagraph"/>
        <w:numPr>
          <w:ilvl w:val="0"/>
          <w:numId w:val="2"/>
        </w:numPr>
        <w:spacing w:after="60"/>
      </w:pPr>
      <w:r>
        <w:rPr>
          <w:rFonts w:ascii="IBM Plex Sans" w:cs="IBM Plex Sans" w:eastAsia="IBM Plex Sans" w:hAnsi="IBM Plex Sans"/>
          <w:b/>
          <w:bCs/>
          <w:color w:val="0E0C19"/>
          <w:sz w:val="21"/>
          <w:szCs w:val="21"/>
        </w:rPr>
        <w:t xml:space="preserve">Belegbar &amp; exportierbar: </w:t>
      </w:r>
      <w:r>
        <w:rPr>
          <w:rFonts w:ascii="IBM Plex Sans" w:cs="IBM Plex Sans" w:eastAsia="IBM Plex Sans" w:hAnsi="IBM Plex Sans"/>
          <w:color w:val="333333"/>
          <w:sz w:val="21"/>
          <w:szCs w:val="21"/>
        </w:rPr>
        <w:t xml:space="preserve">jede erfasste Stunde ist einem Projekt, einer Dienstleistung und einem Preis-Snapshot zugeordnet und lässt sich direkt fürs Buchhaltungssystem (Comatic) exportieren.</w:t>
      </w:r>
    </w:p>
    <w:p>
      <w:pPr>
        <w:pStyle w:val="ListParagraph"/>
        <w:numPr>
          <w:ilvl w:val="0"/>
          <w:numId w:val="2"/>
        </w:numPr>
        <w:spacing w:after="60"/>
      </w:pPr>
      <w:r>
        <w:rPr>
          <w:rFonts w:ascii="IBM Plex Sans" w:cs="IBM Plex Sans" w:eastAsia="IBM Plex Sans" w:hAnsi="IBM Plex Sans"/>
          <w:b/>
          <w:bCs/>
          <w:color w:val="0E0C19"/>
          <w:sz w:val="21"/>
          <w:szCs w:val="21"/>
        </w:rPr>
        <w:t xml:space="preserve">Durchgängige Usability: </w:t>
      </w:r>
      <w:r>
        <w:rPr>
          <w:rFonts w:ascii="IBM Plex Sans" w:cs="IBM Plex Sans" w:eastAsia="IBM Plex Sans" w:hAnsi="IBM Plex Sans"/>
          <w:color w:val="333333"/>
          <w:sz w:val="21"/>
          <w:szCs w:val="21"/>
        </w:rPr>
        <w:t xml:space="preserve">wiederkehrende Abläufe (neuer Kunde, neues Projekt) lassen sich aus jedem betroffenen Formular heraus erledigen, ohne die Seite zu verlassen.</w:t>
      </w:r>
    </w:p>
    <w:p>
      <w:pPr>
        <w:pStyle w:val="ListParagraph"/>
        <w:numPr>
          <w:ilvl w:val="0"/>
          <w:numId w:val="2"/>
        </w:numPr>
        <w:spacing w:after="60"/>
      </w:pPr>
      <w:r>
        <w:rPr>
          <w:rFonts w:ascii="IBM Plex Sans" w:cs="IBM Plex Sans" w:eastAsia="IBM Plex Sans" w:hAnsi="IBM Plex Sans"/>
          <w:b/>
          <w:bCs/>
          <w:color w:val="0E0C19"/>
          <w:sz w:val="21"/>
          <w:szCs w:val="21"/>
        </w:rPr>
        <w:t xml:space="preserve">Aktive statt passive Erinnerungen: </w:t>
      </w:r>
      <w:r>
        <w:rPr>
          <w:rFonts w:ascii="IBM Plex Sans" w:cs="IBM Plex Sans" w:eastAsia="IBM Plex Sans" w:hAnsi="IBM Plex Sans"/>
          <w:color w:val="333333"/>
          <w:sz w:val="21"/>
          <w:szCs w:val="21"/>
        </w:rPr>
        <w:t xml:space="preserve">fällige Wiedervorlagen melden sich per Badge in der Navigation und per täglicher E-Mail, nicht nur auf einer Übersichtsseite, die man aktiv öffnen müsste.</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2. Technologie &amp; Architektur</w:t>
      </w:r>
    </w:p>
    <w:p>
      <w:pPr>
        <w:spacing w:after="140"/>
      </w:pPr>
      <w:r>
        <w:rPr>
          <w:rFonts w:ascii="IBM Plex Sans" w:cs="IBM Plex Sans" w:eastAsia="IBM Plex Sans" w:hAnsi="IBM Plex Sans"/>
          <w:color w:val="333333"/>
          <w:sz w:val="21"/>
          <w:szCs w:val="21"/>
        </w:rPr>
        <w:t xml:space="preserve">ArcoTime setzt bewusst auf einen schlanken, modernen Stack ohne unnötige Abhängigkeiten – wartbar durch eine Einzelperson, aber produktionstauglich.</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Stack im Überblick</w:t>
      </w:r>
    </w:p>
    <w:tbl>
      <w:tblPr>
        <w:tblW w:type="pct" w:w="100%"/>
        <w:tblBorders>
          <w:top w:val="single" w:color="D1D5DB" w:sz="4"/>
          <w:left w:val="none"/>
          <w:bottom w:val="single" w:color="D1D5DB" w:sz="4"/>
          <w:right w:val="none"/>
          <w:insideH w:val="single" w:color="E5E7EB" w:sz="4"/>
          <w:insideV w:val="none"/>
        </w:tblBorders>
      </w:tblPr>
      <w:tblGrid>
        <w:gridCol w:w="2800"/>
        <w:gridCol w:w="6560"/>
      </w:tblGrid>
      <w:tr>
        <w:tc>
          <w:tcPr>
            <w:tcW w:type="dxa" w:w="2800"/>
            <w:shd w:fill="F1F5F9"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Frontend/Backend</w:t>
            </w:r>
          </w:p>
        </w:tc>
        <w:tc>
          <w:tcPr>
            <w:tcW w:type="dxa" w:w="6560"/>
            <w:shd w:fill="F1F5F9"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Next.js 16 (App Router), React 19, TypeScript</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Styling</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Tailwind CSS v4</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Datenbank &amp; Auth</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Supabase (PostgreSQL, Row-Level-Security, Auth, Storage)</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Hosting</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Vercel – automatisches Deployment bei jedem Push auf GitHub</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Excel-Export</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exceljs</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Drag &amp; Drop</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@dnd-kit/core (Anfragen-Kanban-Board)</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E-Mail-Versand</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nodemailer über Hostpoint-SMTP</w:t>
            </w:r>
          </w:p>
        </w:tc>
      </w:tr>
    </w:tbl>
    <w:p>
      <w:pPr>
        <w:pStyle w:val="Heading2"/>
        <w:spacing w:after="140" w:before="280"/>
      </w:pPr>
      <w:r>
        <w:rPr>
          <w:rFonts w:ascii="IBM Plex Sans Condensed" w:cs="IBM Plex Sans Condensed" w:eastAsia="IBM Plex Sans Condensed" w:hAnsi="IBM Plex Sans Condensed"/>
          <w:b/>
          <w:bCs/>
          <w:color w:val="457B9D"/>
          <w:sz w:val="24"/>
          <w:szCs w:val="24"/>
        </w:rPr>
        <w:t xml:space="preserve">Architekturprinzipien</w:t>
      </w:r>
    </w:p>
    <w:p>
      <w:pPr>
        <w:pStyle w:val="ListParagraph"/>
        <w:numPr>
          <w:ilvl w:val="0"/>
          <w:numId w:val="2"/>
        </w:numPr>
        <w:spacing w:after="60"/>
      </w:pPr>
      <w:r>
        <w:rPr>
          <w:rFonts w:ascii="IBM Plex Sans" w:cs="IBM Plex Sans" w:eastAsia="IBM Plex Sans" w:hAnsi="IBM Plex Sans"/>
          <w:b/>
          <w:bCs/>
          <w:color w:val="0E0C19"/>
          <w:sz w:val="21"/>
          <w:szCs w:val="21"/>
        </w:rPr>
        <w:t xml:space="preserve">Server Actions statt klassischer REST-API: </w:t>
      </w:r>
      <w:r>
        <w:rPr>
          <w:rFonts w:ascii="IBM Plex Sans" w:cs="IBM Plex Sans" w:eastAsia="IBM Plex Sans" w:hAnsi="IBM Plex Sans"/>
          <w:color w:val="333333"/>
          <w:sz w:val="21"/>
          <w:szCs w:val="21"/>
        </w:rPr>
        <w:t xml:space="preserve">Formulare rufen direkt asynchrone Server-Funktionen auf, die serverseitig laufen und typsicher mit dem Frontend verbunden sind.</w:t>
      </w:r>
    </w:p>
    <w:p>
      <w:pPr>
        <w:pStyle w:val="ListParagraph"/>
        <w:numPr>
          <w:ilvl w:val="0"/>
          <w:numId w:val="2"/>
        </w:numPr>
        <w:spacing w:after="60"/>
      </w:pPr>
      <w:r>
        <w:rPr>
          <w:rFonts w:ascii="IBM Plex Sans" w:cs="IBM Plex Sans" w:eastAsia="IBM Plex Sans" w:hAnsi="IBM Plex Sans"/>
          <w:b/>
          <w:bCs/>
          <w:color w:val="0E0C19"/>
          <w:sz w:val="21"/>
          <w:szCs w:val="21"/>
        </w:rPr>
        <w:t xml:space="preserve">Server- und Client-Komponenten getrennt: </w:t>
      </w:r>
      <w:r>
        <w:rPr>
          <w:rFonts w:ascii="IBM Plex Sans" w:cs="IBM Plex Sans" w:eastAsia="IBM Plex Sans" w:hAnsi="IBM Plex Sans"/>
          <w:color w:val="333333"/>
          <w:sz w:val="21"/>
          <w:szCs w:val="21"/>
        </w:rPr>
        <w:t xml:space="preserve">Datenabfragen laufen serverseitig (schnell, sicher); nur wo Interaktivität nötig ist (Formulare, Timer, Kanban-Board), kommt eine Client-Komponente zum Einsatz.</w:t>
      </w:r>
    </w:p>
    <w:p>
      <w:pPr>
        <w:pStyle w:val="ListParagraph"/>
        <w:numPr>
          <w:ilvl w:val="0"/>
          <w:numId w:val="2"/>
        </w:numPr>
        <w:spacing w:after="60"/>
      </w:pPr>
      <w:r>
        <w:rPr>
          <w:rFonts w:ascii="IBM Plex Sans" w:cs="IBM Plex Sans" w:eastAsia="IBM Plex Sans" w:hAnsi="IBM Plex Sans"/>
          <w:b/>
          <w:bCs/>
          <w:color w:val="0E0C19"/>
          <w:sz w:val="21"/>
          <w:szCs w:val="21"/>
        </w:rPr>
        <w:t xml:space="preserve">Row-Level-Security als zentrale Schutzschicht: </w:t>
      </w:r>
      <w:r>
        <w:rPr>
          <w:rFonts w:ascii="IBM Plex Sans" w:cs="IBM Plex Sans" w:eastAsia="IBM Plex Sans" w:hAnsi="IBM Plex Sans"/>
          <w:color w:val="333333"/>
          <w:sz w:val="21"/>
          <w:szCs w:val="21"/>
        </w:rPr>
        <w:t xml:space="preserve">jede Tabelle ist per Datenbank-Policy auf die eigene Organisation begrenzt – ein Programmierfehler im Anwendungscode kann keine fremden Daten offenlegen, weil die Datenbank selbst die Grenze zieht.</w:t>
      </w:r>
    </w:p>
    <w:p>
      <w:pPr>
        <w:pStyle w:val="ListParagraph"/>
        <w:numPr>
          <w:ilvl w:val="0"/>
          <w:numId w:val="2"/>
        </w:numPr>
        <w:spacing w:after="60"/>
      </w:pPr>
      <w:r>
        <w:rPr>
          <w:rFonts w:ascii="IBM Plex Sans" w:cs="IBM Plex Sans" w:eastAsia="IBM Plex Sans" w:hAnsi="IBM Plex Sans"/>
          <w:b/>
          <w:bCs/>
          <w:color w:val="0E0C19"/>
          <w:sz w:val="21"/>
          <w:szCs w:val="21"/>
        </w:rPr>
        <w:t xml:space="preserve">Service-Role-Client nur dort, wo nötig: </w:t>
      </w:r>
      <w:r>
        <w:rPr>
          <w:rFonts w:ascii="IBM Plex Sans" w:cs="IBM Plex Sans" w:eastAsia="IBM Plex Sans" w:hAnsi="IBM Plex Sans"/>
          <w:color w:val="333333"/>
          <w:sz w:val="21"/>
          <w:szCs w:val="21"/>
        </w:rPr>
        <w:t xml:space="preserve">ein separater, klar gekennzeichneter Client mit vollem Datenbankzugriff (unter Umgehung von RLS) kommt ausschliesslich in serverseitigen Funktionen zum Einsatz, die das brauchen – Mitarbeitenden-Einladung und der Wiedervorlagen-Reminder, der ohne Nutzer-Login läuft.</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3. Mandantenfähigkeit &amp; Sicherheit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Organisationen</w:t>
      </w:r>
    </w:p>
    <w:p>
      <w:pPr>
        <w:spacing w:after="140"/>
      </w:pPr>
      <w:r>
        <w:rPr>
          <w:rFonts w:ascii="IBM Plex Sans" w:cs="IBM Plex Sans" w:eastAsia="IBM Plex Sans" w:hAnsi="IBM Plex Sans"/>
          <w:color w:val="333333"/>
          <w:sz w:val="21"/>
          <w:szCs w:val="21"/>
        </w:rPr>
        <w:t xml:space="preserve">Jede Mitarbeitende gehört zu genau einer Organisation. Sämtliche fachlichen Tabellen (Kunden, Projekte, Zeiteinträge, Anfragen, Dokumente, Einstellungen) tragen eine Organisations-Referenz und sind per Row-Level-Security so abgesichert, dass ein Datenbank-Query grundsätzlich nur die eigenen Daten zurückgeben kann – unabhängig davon, was die Anwendung anfragt.</w:t>
      </w:r>
    </w:p>
    <w:p>
      <w:pPr>
        <w:spacing w:after="140"/>
      </w:pPr>
      <w:r>
        <w:rPr>
          <w:rFonts w:ascii="IBM Plex Sans" w:cs="IBM Plex Sans" w:eastAsia="IBM Plex Sans" w:hAnsi="IBM Plex Sans"/>
          <w:color w:val="333333"/>
          <w:sz w:val="21"/>
          <w:szCs w:val="21"/>
        </w:rPr>
        <w:t xml:space="preserve">Die Isolation wurde mit einer eigenen zweiten Test-Organisation gezielt geprüft, bevor produktive Daten erfasst wurden.</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Authentifizierung &amp; Einladung</w:t>
      </w:r>
    </w:p>
    <w:p>
      <w:pPr>
        <w:pStyle w:val="ListParagraph"/>
        <w:numPr>
          <w:ilvl w:val="0"/>
          <w:numId w:val="2"/>
        </w:numPr>
        <w:spacing w:after="60"/>
      </w:pPr>
      <w:r>
        <w:rPr>
          <w:rFonts w:ascii="IBM Plex Sans" w:cs="IBM Plex Sans" w:eastAsia="IBM Plex Sans" w:hAnsi="IBM Plex Sans"/>
          <w:b/>
          <w:bCs/>
          <w:color w:val="0E0C19"/>
          <w:sz w:val="21"/>
          <w:szCs w:val="21"/>
        </w:rPr>
        <w:t xml:space="preserve">Login: </w:t>
      </w:r>
      <w:r>
        <w:rPr>
          <w:rFonts w:ascii="IBM Plex Sans" w:cs="IBM Plex Sans" w:eastAsia="IBM Plex Sans" w:hAnsi="IBM Plex Sans"/>
          <w:color w:val="333333"/>
          <w:sz w:val="21"/>
          <w:szCs w:val="21"/>
        </w:rPr>
        <w:t xml:space="preserve">Supabase Auth mit E-Mail/Passwort.</w:t>
      </w:r>
    </w:p>
    <w:p>
      <w:pPr>
        <w:pStyle w:val="ListParagraph"/>
        <w:numPr>
          <w:ilvl w:val="0"/>
          <w:numId w:val="2"/>
        </w:numPr>
        <w:spacing w:after="60"/>
      </w:pPr>
      <w:r>
        <w:rPr>
          <w:rFonts w:ascii="IBM Plex Sans" w:cs="IBM Plex Sans" w:eastAsia="IBM Plex Sans" w:hAnsi="IBM Plex Sans"/>
          <w:b/>
          <w:bCs/>
          <w:color w:val="0E0C19"/>
          <w:sz w:val="21"/>
          <w:szCs w:val="21"/>
        </w:rPr>
        <w:t xml:space="preserve">Passwort-Reset: </w:t>
      </w:r>
      <w:r>
        <w:rPr>
          <w:rFonts w:ascii="IBM Plex Sans" w:cs="IBM Plex Sans" w:eastAsia="IBM Plex Sans" w:hAnsi="IBM Plex Sans"/>
          <w:color w:val="333333"/>
          <w:sz w:val="21"/>
          <w:szCs w:val="21"/>
        </w:rPr>
        <w:t xml:space="preserve">regulärer Supabase-Flow über eine eigene Bestätigungsseite.</w:t>
      </w:r>
    </w:p>
    <w:p>
      <w:pPr>
        <w:pStyle w:val="ListParagraph"/>
        <w:numPr>
          <w:ilvl w:val="0"/>
          <w:numId w:val="2"/>
        </w:numPr>
        <w:spacing w:after="60"/>
      </w:pPr>
      <w:r>
        <w:rPr>
          <w:rFonts w:ascii="IBM Plex Sans" w:cs="IBM Plex Sans" w:eastAsia="IBM Plex Sans" w:hAnsi="IBM Plex Sans"/>
          <w:b/>
          <w:bCs/>
          <w:color w:val="0E0C19"/>
          <w:sz w:val="21"/>
          <w:szCs w:val="21"/>
        </w:rPr>
        <w:t xml:space="preserve">Mitarbeitende einladen: </w:t>
      </w:r>
      <w:r>
        <w:rPr>
          <w:rFonts w:ascii="IBM Plex Sans" w:cs="IBM Plex Sans" w:eastAsia="IBM Plex Sans" w:hAnsi="IBM Plex Sans"/>
          <w:color w:val="333333"/>
          <w:sz w:val="21"/>
          <w:szCs w:val="21"/>
        </w:rPr>
        <w:t xml:space="preserve">Admins laden neue Mitarbeitende per E-Mail-Adresse ein; das Konto entsteht automatisch beim ersten Klick auf den Einladungslink.</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Sicherheitsfix: Einladungslinks &amp; E-Mail-Sicherheitsscanner</w:t>
      </w:r>
    </w:p>
    <w:p>
      <w:pPr>
        <w:spacing w:after="140"/>
      </w:pPr>
      <w:r>
        <w:rPr>
          <w:rFonts w:ascii="IBM Plex Sans" w:cs="IBM Plex Sans" w:eastAsia="IBM Plex Sans" w:hAnsi="IBM Plex Sans"/>
          <w:color w:val="333333"/>
          <w:sz w:val="21"/>
          <w:szCs w:val="21"/>
        </w:rPr>
        <w:t xml:space="preserve">In der Praxis zeigte sich, dass Einladungs- und Reset-Links bei Empfang über Microsoft 365 als „ungültig“ gemeldet wurden, obwohl sie nie angeklickt worden waren. Ursache: Microsofts Sicherheitsfunktion „Safe Links“ ruft E-Mail-Links automatisch im Hintergrund auf, um sie auf Schadsoftware zu prüfen – dabei wird der einmalig gültige Supabase-Token verbraucht, bevor die Person selbst klickt.</w:t>
      </w:r>
    </w:p>
    <w:p>
      <w:pPr>
        <w:spacing w:after="140"/>
      </w:pPr>
      <w:r>
        <w:rPr>
          <w:rFonts w:ascii="IBM Plex Sans" w:cs="IBM Plex Sans" w:eastAsia="IBM Plex Sans" w:hAnsi="IBM Plex Sans"/>
          <w:color w:val="333333"/>
          <w:sz w:val="21"/>
          <w:szCs w:val="21"/>
        </w:rPr>
        <w:t xml:space="preserve">Behoben durch eine eigene Zwischenseite (/link-bestaetigen): Der Link führt zunächst auf eine Seite mit einem Bestätigungs-Button; der eigentliche Token-Austausch passiert erst beim expliziten Klick der Person, nicht automatisch beim Laden der Seite. Automatisierte Scanner rufen Seiten ab, simulieren aber keine Klicks – der Token bleibt dadurch bis zum echten Klick gültig.</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Backup-Strategie</w:t>
      </w:r>
    </w:p>
    <w:p>
      <w:pPr>
        <w:spacing w:after="140"/>
      </w:pPr>
      <w:r>
        <w:rPr>
          <w:rFonts w:ascii="IBM Plex Sans" w:cs="IBM Plex Sans" w:eastAsia="IBM Plex Sans" w:hAnsi="IBM Plex Sans"/>
          <w:color w:val="333333"/>
          <w:sz w:val="21"/>
          <w:szCs w:val="21"/>
        </w:rPr>
        <w:t xml:space="preserve">ArcoTime läuft aktuell auf dem Supabase Free-Plan (kein automatisches Backup durch den Anbieter). Als Ausgleich existiert ein eigenes Backup-Skript (scripts/backup-datenbank.js), das sämtliche fachlichen Tabellen als JSON sowie alle Dateien aus der Dokumentenablage lokal sichert. Bewusst ausgenommen sind Login-Daten (auth.users) – hierfür wird stattdessen Zwei-Faktor-Authentifizierung auf dem Supabase-Konto selbst empfohlen. Ein Wechsel auf den Supabase-Pro-Plan (mit automatischem tägl. Backup) ist vorgesehen, sobald produktive Kundenorganisationen hinzukommen.</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4. Module im Detail</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4.1 Zeiterfassung</w:t>
      </w:r>
    </w:p>
    <w:p>
      <w:pPr>
        <w:spacing w:after="140"/>
      </w:pPr>
      <w:r>
        <w:rPr>
          <w:rFonts w:ascii="IBM Plex Sans" w:cs="IBM Plex Sans" w:eastAsia="IBM Plex Sans" w:hAnsi="IBM Plex Sans"/>
          <w:color w:val="333333"/>
          <w:sz w:val="21"/>
          <w:szCs w:val="21"/>
        </w:rPr>
        <w:t xml:space="preserve">Herzstück der Anwendung. Mitarbeitende erfassen Zeit entweder nachträglich (Datum, Dauer) oder live per Timer.</w:t>
      </w:r>
    </w:p>
    <w:p>
      <w:pPr>
        <w:pStyle w:val="ListParagraph"/>
        <w:numPr>
          <w:ilvl w:val="0"/>
          <w:numId w:val="2"/>
        </w:numPr>
        <w:spacing w:after="60"/>
      </w:pPr>
      <w:r>
        <w:rPr>
          <w:rFonts w:ascii="IBM Plex Sans" w:cs="IBM Plex Sans" w:eastAsia="IBM Plex Sans" w:hAnsi="IBM Plex Sans"/>
          <w:b/>
          <w:bCs/>
          <w:color w:val="0E0C19"/>
          <w:sz w:val="21"/>
          <w:szCs w:val="21"/>
        </w:rPr>
        <w:t xml:space="preserve">Timer ist persistent: </w:t>
      </w:r>
      <w:r>
        <w:rPr>
          <w:rFonts w:ascii="IBM Plex Sans" w:cs="IBM Plex Sans" w:eastAsia="IBM Plex Sans" w:hAnsi="IBM Plex Sans"/>
          <w:color w:val="333333"/>
          <w:sz w:val="21"/>
          <w:szCs w:val="21"/>
        </w:rPr>
        <w:t xml:space="preserve">läuft serverseitig weiter, auch wenn der Browser geschlossen wird – kein Verlust der laufenden Zeit.</w:t>
      </w:r>
    </w:p>
    <w:p>
      <w:pPr>
        <w:pStyle w:val="ListParagraph"/>
        <w:numPr>
          <w:ilvl w:val="0"/>
          <w:numId w:val="2"/>
        </w:numPr>
        <w:spacing w:after="60"/>
      </w:pPr>
      <w:r>
        <w:rPr>
          <w:rFonts w:ascii="IBM Plex Sans" w:cs="IBM Plex Sans" w:eastAsia="IBM Plex Sans" w:hAnsi="IBM Plex Sans"/>
          <w:b/>
          <w:bCs/>
          <w:color w:val="0E0C19"/>
          <w:sz w:val="21"/>
          <w:szCs w:val="21"/>
        </w:rPr>
        <w:t xml:space="preserve">Preis-Snapshot: </w:t>
      </w:r>
      <w:r>
        <w:rPr>
          <w:rFonts w:ascii="IBM Plex Sans" w:cs="IBM Plex Sans" w:eastAsia="IBM Plex Sans" w:hAnsi="IBM Plex Sans"/>
          <w:color w:val="333333"/>
          <w:sz w:val="21"/>
          <w:szCs w:val="21"/>
        </w:rPr>
        <w:t xml:space="preserve">der zum Zeitpunkt der Erfassung gültige Preis der Dienstleistung wird im Zeiteintrag festgeschrieben; spätere Preisänderungen wirken sich nicht auf bereits erfasste Einträge aus.</w:t>
      </w:r>
    </w:p>
    <w:p>
      <w:pPr>
        <w:pStyle w:val="ListParagraph"/>
        <w:numPr>
          <w:ilvl w:val="0"/>
          <w:numId w:val="2"/>
        </w:numPr>
        <w:spacing w:after="60"/>
      </w:pPr>
      <w:r>
        <w:rPr>
          <w:rFonts w:ascii="IBM Plex Sans" w:cs="IBM Plex Sans" w:eastAsia="IBM Plex Sans" w:hAnsi="IBM Plex Sans"/>
          <w:b/>
          <w:bCs/>
          <w:color w:val="0E0C19"/>
          <w:sz w:val="21"/>
          <w:szCs w:val="21"/>
        </w:rPr>
        <w:t xml:space="preserve">Automatischer Beschreibungs-Präfix: </w:t>
      </w:r>
      <w:r>
        <w:rPr>
          <w:rFonts w:ascii="IBM Plex Sans" w:cs="IBM Plex Sans" w:eastAsia="IBM Plex Sans" w:hAnsi="IBM Plex Sans"/>
          <w:color w:val="333333"/>
          <w:sz w:val="21"/>
          <w:szCs w:val="21"/>
        </w:rPr>
        <w:t xml:space="preserve">abhängig vom erfassenden Mitarbeitenden.</w:t>
      </w:r>
    </w:p>
    <w:p>
      <w:pPr>
        <w:pStyle w:val="ListParagraph"/>
        <w:numPr>
          <w:ilvl w:val="0"/>
          <w:numId w:val="2"/>
        </w:numPr>
        <w:spacing w:after="60"/>
      </w:pPr>
      <w:r>
        <w:rPr>
          <w:rFonts w:ascii="IBM Plex Sans" w:cs="IBM Plex Sans" w:eastAsia="IBM Plex Sans" w:hAnsi="IBM Plex Sans"/>
          <w:b/>
          <w:bCs/>
          <w:color w:val="0E0C19"/>
          <w:sz w:val="21"/>
          <w:szCs w:val="21"/>
        </w:rPr>
        <w:t xml:space="preserve">Eigene Einträge-Liste: </w:t>
      </w:r>
      <w:r>
        <w:rPr>
          <w:rFonts w:ascii="IBM Plex Sans" w:cs="IBM Plex Sans" w:eastAsia="IBM Plex Sans" w:hAnsi="IBM Plex Sans"/>
          <w:color w:val="333333"/>
          <w:sz w:val="21"/>
          <w:szCs w:val="21"/>
        </w:rPr>
        <w:t xml:space="preserve">mit Zeitraum-Filter direkt auf der Zeiterfassungsseite.</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4.2 Kunden &amp; Projekte</w:t>
      </w:r>
    </w:p>
    <w:p>
      <w:pPr>
        <w:spacing w:after="140"/>
      </w:pPr>
      <w:r>
        <w:rPr>
          <w:rFonts w:ascii="IBM Plex Sans" w:cs="IBM Plex Sans" w:eastAsia="IBM Plex Sans" w:hAnsi="IBM Plex Sans"/>
          <w:color w:val="333333"/>
          <w:sz w:val="21"/>
          <w:szCs w:val="21"/>
        </w:rPr>
        <w:t xml:space="preserve">Klassische Stammdatenverwaltung mit Adress-Autofill über ein PLZ-Verzeichnis. Jedes Projekt gehört zu genau einem Kunden und trägt eigene Abrechnungsparameter (Kostenstelle, nächste Belegnummer, Sichtbarkeit für alle Mitarbeitenden).</w:t>
      </w:r>
    </w:p>
    <w:p>
      <w:pPr>
        <w:pStyle w:val="ListParagraph"/>
        <w:numPr>
          <w:ilvl w:val="0"/>
          <w:numId w:val="2"/>
        </w:numPr>
        <w:spacing w:after="60"/>
      </w:pPr>
      <w:r>
        <w:rPr>
          <w:rFonts w:ascii="IBM Plex Sans" w:cs="IBM Plex Sans" w:eastAsia="IBM Plex Sans" w:hAnsi="IBM Plex Sans"/>
          <w:b/>
          <w:bCs/>
          <w:color w:val="0E0C19"/>
          <w:sz w:val="21"/>
          <w:szCs w:val="21"/>
        </w:rPr>
        <w:t xml:space="preserve">Kunde-Detailseite: </w:t>
      </w:r>
      <w:r>
        <w:rPr>
          <w:rFonts w:ascii="IBM Plex Sans" w:cs="IBM Plex Sans" w:eastAsia="IBM Plex Sans" w:hAnsi="IBM Plex Sans"/>
          <w:color w:val="333333"/>
          <w:sz w:val="21"/>
          <w:szCs w:val="21"/>
        </w:rPr>
        <w:t xml:space="preserve">zeigt die komplette Historie (Anfragen und Zeiterfassung) für diesen Kunden, filterbar.</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4.3 Dienstleistungskatalog</w:t>
      </w:r>
    </w:p>
    <w:p>
      <w:pPr>
        <w:spacing w:after="140"/>
      </w:pPr>
      <w:r>
        <w:rPr>
          <w:rFonts w:ascii="IBM Plex Sans" w:cs="IBM Plex Sans" w:eastAsia="IBM Plex Sans" w:hAnsi="IBM Plex Sans"/>
          <w:color w:val="333333"/>
          <w:sz w:val="21"/>
          <w:szCs w:val="21"/>
        </w:rPr>
        <w:t xml:space="preserve">Zentrale Preisliste der angebotenen Leistungen inkl. Dienstleistungsklassen und MwSt-Codes – Basis für den Preis-Snapshot in der Zeiterfassung.</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4.4 Anfragenverwaltung (Kanban)</w:t>
      </w:r>
    </w:p>
    <w:p>
      <w:pPr>
        <w:spacing w:after="140"/>
      </w:pPr>
      <w:r>
        <w:rPr>
          <w:rFonts w:ascii="IBM Plex Sans" w:cs="IBM Plex Sans" w:eastAsia="IBM Plex Sans" w:hAnsi="IBM Plex Sans"/>
          <w:color w:val="333333"/>
          <w:sz w:val="21"/>
          <w:szCs w:val="21"/>
        </w:rPr>
        <w:t xml:space="preserve">Bildet den Vertriebsprozess ab: von der eingehenden Kundenanfrage bis zum erledigten Auftrag.</w:t>
      </w:r>
    </w:p>
    <w:p>
      <w:pPr>
        <w:pStyle w:val="ListParagraph"/>
        <w:numPr>
          <w:ilvl w:val="0"/>
          <w:numId w:val="2"/>
        </w:numPr>
        <w:spacing w:after="60"/>
      </w:pPr>
      <w:r>
        <w:rPr>
          <w:rFonts w:ascii="IBM Plex Sans" w:cs="IBM Plex Sans" w:eastAsia="IBM Plex Sans" w:hAnsi="IBM Plex Sans"/>
          <w:b/>
          <w:bCs/>
          <w:color w:val="0E0C19"/>
          <w:sz w:val="21"/>
          <w:szCs w:val="21"/>
        </w:rPr>
        <w:t xml:space="preserve">Kanban-Board: </w:t>
      </w:r>
      <w:r>
        <w:rPr>
          <w:rFonts w:ascii="IBM Plex Sans" w:cs="IBM Plex Sans" w:eastAsia="IBM Plex Sans" w:hAnsi="IBM Plex Sans"/>
          <w:color w:val="333333"/>
          <w:sz w:val="21"/>
          <w:szCs w:val="21"/>
        </w:rPr>
        <w:t xml:space="preserve">Anfragen als Karten, per Drag &amp; Drop zwischen Status-Spalten verschiebbar.</w:t>
      </w:r>
    </w:p>
    <w:p>
      <w:pPr>
        <w:pStyle w:val="ListParagraph"/>
        <w:numPr>
          <w:ilvl w:val="0"/>
          <w:numId w:val="2"/>
        </w:numPr>
        <w:spacing w:after="60"/>
      </w:pPr>
      <w:r>
        <w:rPr>
          <w:rFonts w:ascii="IBM Plex Sans" w:cs="IBM Plex Sans" w:eastAsia="IBM Plex Sans" w:hAnsi="IBM Plex Sans"/>
          <w:b/>
          <w:bCs/>
          <w:color w:val="0E0C19"/>
          <w:sz w:val="21"/>
          <w:szCs w:val="21"/>
        </w:rPr>
        <w:t xml:space="preserve">Zuweisung: </w:t>
      </w:r>
      <w:r>
        <w:rPr>
          <w:rFonts w:ascii="IBM Plex Sans" w:cs="IBM Plex Sans" w:eastAsia="IBM Plex Sans" w:hAnsi="IBM Plex Sans"/>
          <w:color w:val="333333"/>
          <w:sz w:val="21"/>
          <w:szCs w:val="21"/>
        </w:rPr>
        <w:t xml:space="preserve">jede Anfrage kann einer bestimmten Person zugewiesen werden.</w:t>
      </w:r>
    </w:p>
    <w:p>
      <w:pPr>
        <w:pStyle w:val="ListParagraph"/>
        <w:numPr>
          <w:ilvl w:val="0"/>
          <w:numId w:val="2"/>
        </w:numPr>
        <w:spacing w:after="60"/>
      </w:pPr>
      <w:r>
        <w:rPr>
          <w:rFonts w:ascii="IBM Plex Sans" w:cs="IBM Plex Sans" w:eastAsia="IBM Plex Sans" w:hAnsi="IBM Plex Sans"/>
          <w:b/>
          <w:bCs/>
          <w:color w:val="0E0C19"/>
          <w:sz w:val="21"/>
          <w:szCs w:val="21"/>
        </w:rPr>
        <w:t xml:space="preserve">Wiedervorlagen: </w:t>
      </w:r>
      <w:r>
        <w:rPr>
          <w:rFonts w:ascii="IBM Plex Sans" w:cs="IBM Plex Sans" w:eastAsia="IBM Plex Sans" w:hAnsi="IBM Plex Sans"/>
          <w:color w:val="333333"/>
          <w:sz w:val="21"/>
          <w:szCs w:val="21"/>
        </w:rPr>
        <w:t xml:space="preserve">optionales Datum, ab dem sich die Anfrage aktiv meldet (siehe Kapitel 6). Das Datumsfeld erscheint erst nach Klick auf „+ Datum setzen“ – bewusst so gelöst, damit nie versehentlich ein Datum gesetzt wird.</w:t>
      </w:r>
    </w:p>
    <w:p>
      <w:pPr>
        <w:pStyle w:val="ListParagraph"/>
        <w:numPr>
          <w:ilvl w:val="0"/>
          <w:numId w:val="2"/>
        </w:numPr>
        <w:spacing w:after="60"/>
      </w:pPr>
      <w:r>
        <w:rPr>
          <w:rFonts w:ascii="IBM Plex Sans" w:cs="IBM Plex Sans" w:eastAsia="IBM Plex Sans" w:hAnsi="IBM Plex Sans"/>
          <w:b/>
          <w:bCs/>
          <w:color w:val="0E0C19"/>
          <w:sz w:val="21"/>
          <w:szCs w:val="21"/>
        </w:rPr>
        <w:t xml:space="preserve">Kanäle &amp; Prioritäten: </w:t>
      </w:r>
      <w:r>
        <w:rPr>
          <w:rFonts w:ascii="IBM Plex Sans" w:cs="IBM Plex Sans" w:eastAsia="IBM Plex Sans" w:hAnsi="IBM Plex Sans"/>
          <w:color w:val="333333"/>
          <w:sz w:val="21"/>
          <w:szCs w:val="21"/>
        </w:rPr>
        <w:t xml:space="preserve">frei konfigurierbar unter Einstellungen, nicht hart codiert.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4.5 Auswertungen &amp; Kalender</w:t>
      </w:r>
    </w:p>
    <w:p>
      <w:pPr>
        <w:spacing w:after="140"/>
      </w:pPr>
      <w:r>
        <w:rPr>
          <w:rFonts w:ascii="IBM Plex Sans" w:cs="IBM Plex Sans" w:eastAsia="IBM Plex Sans" w:hAnsi="IBM Plex Sans"/>
          <w:color w:val="333333"/>
          <w:sz w:val="21"/>
          <w:szCs w:val="21"/>
        </w:rPr>
        <w:t xml:space="preserve">Auswertung erfasster Zeit nach Tag, Woche oder Monat mit Filtern. Die Kalenderansicht (Monatsübersicht) zeigt pro Tag nicht mehr nur eine Stunden-/CHF-Summe, sondern eine farbige Mini-Liste – analog einem klassischen Kalendertool:</w:t>
      </w:r>
    </w:p>
    <w:p>
      <w:pPr>
        <w:pStyle w:val="ListParagraph"/>
        <w:numPr>
          <w:ilvl w:val="0"/>
          <w:numId w:val="2"/>
        </w:numPr>
        <w:spacing w:after="60"/>
      </w:pPr>
      <w:r>
        <w:rPr>
          <w:rFonts w:ascii="IBM Plex Sans" w:cs="IBM Plex Sans" w:eastAsia="IBM Plex Sans" w:hAnsi="IBM Plex Sans"/>
          <w:b/>
          <w:bCs/>
          <w:color w:val="0E0C19"/>
          <w:sz w:val="21"/>
          <w:szCs w:val="21"/>
        </w:rPr>
        <w:t xml:space="preserve">Zeiteinträge: </w:t>
      </w:r>
      <w:r>
        <w:rPr>
          <w:rFonts w:ascii="IBM Plex Sans" w:cs="IBM Plex Sans" w:eastAsia="IBM Plex Sans" w:hAnsi="IBM Plex Sans"/>
          <w:color w:val="333333"/>
          <w:sz w:val="21"/>
          <w:szCs w:val="21"/>
        </w:rPr>
        <w:t xml:space="preserve">eine Zeile pro Mitarbeiter:in mit Aktivität an diesem Tag, in der jeweils eigenen Farbe, mit Stundensumme.</w:t>
      </w:r>
    </w:p>
    <w:p>
      <w:pPr>
        <w:pStyle w:val="ListParagraph"/>
        <w:numPr>
          <w:ilvl w:val="0"/>
          <w:numId w:val="2"/>
        </w:numPr>
        <w:spacing w:after="60"/>
      </w:pPr>
      <w:r>
        <w:rPr>
          <w:rFonts w:ascii="IBM Plex Sans" w:cs="IBM Plex Sans" w:eastAsia="IBM Plex Sans" w:hAnsi="IBM Plex Sans"/>
          <w:b/>
          <w:bCs/>
          <w:color w:val="0E0C19"/>
          <w:sz w:val="21"/>
          <w:szCs w:val="21"/>
        </w:rPr>
        <w:t xml:space="preserve">Anfragen: </w:t>
      </w:r>
      <w:r>
        <w:rPr>
          <w:rFonts w:ascii="IBM Plex Sans" w:cs="IBM Plex Sans" w:eastAsia="IBM Plex Sans" w:hAnsi="IBM Plex Sans"/>
          <w:color w:val="333333"/>
          <w:sz w:val="21"/>
          <w:szCs w:val="21"/>
        </w:rPr>
        <w:t xml:space="preserve">eine Zeile pro fälliger Wiedervorlage (nicht erledigte Anfragen), farbig nach zugewiesener Person, mit Direktlink auf die Anfrage.</w:t>
      </w:r>
    </w:p>
    <w:p>
      <w:pPr>
        <w:pStyle w:val="ListParagraph"/>
        <w:numPr>
          <w:ilvl w:val="0"/>
          <w:numId w:val="2"/>
        </w:numPr>
        <w:spacing w:after="60"/>
      </w:pPr>
      <w:r>
        <w:rPr>
          <w:rFonts w:ascii="IBM Plex Sans" w:cs="IBM Plex Sans" w:eastAsia="IBM Plex Sans" w:hAnsi="IBM Plex Sans"/>
          <w:b/>
          <w:bCs/>
          <w:color w:val="0E0C19"/>
          <w:sz w:val="21"/>
          <w:szCs w:val="21"/>
        </w:rPr>
        <w:t xml:space="preserve">Legende: </w:t>
      </w:r>
      <w:r>
        <w:rPr>
          <w:rFonts w:ascii="IBM Plex Sans" w:cs="IBM Plex Sans" w:eastAsia="IBM Plex Sans" w:hAnsi="IBM Plex Sans"/>
          <w:color w:val="333333"/>
          <w:sz w:val="21"/>
          <w:szCs w:val="21"/>
        </w:rPr>
        <w:t xml:space="preserve">zeigt alle im aktuellen Monat sichtbaren Personen mit ihrer Farbe.</w:t>
      </w:r>
    </w:p>
    <w:p>
      <w:pPr>
        <w:spacing w:after="140"/>
      </w:pPr>
      <w:r>
        <w:rPr>
          <w:rFonts w:ascii="IBM Plex Sans" w:cs="IBM Plex Sans" w:eastAsia="IBM Plex Sans" w:hAnsi="IBM Plex Sans"/>
          <w:color w:val="333333"/>
          <w:sz w:val="21"/>
          <w:szCs w:val="21"/>
        </w:rPr>
        <w:t xml:space="preserve">Admins können zusätzlich nach Mitarbeitenden filtern und sehen alle Einträge; alle anderen sehen bei Zeiteinträgen nur die eigenen (Anfragen sind wie im Kanban-Board für alle sichtbar).</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4.6 Export</w:t>
      </w:r>
    </w:p>
    <w:p>
      <w:pPr>
        <w:spacing w:after="140"/>
      </w:pPr>
      <w:r>
        <w:rPr>
          <w:rFonts w:ascii="IBM Plex Sans" w:cs="IBM Plex Sans" w:eastAsia="IBM Plex Sans" w:hAnsi="IBM Plex Sans"/>
          <w:color w:val="333333"/>
          <w:sz w:val="21"/>
          <w:szCs w:val="21"/>
        </w:rPr>
        <w:t xml:space="preserve">Admin-Funktion: Auswahl offener (nicht exportierter) Zeiteinträge und Export als Excel-Datei im für das Buchhaltungssystem Comatic passenden Format. Jeder Export erhält eine Belegnummer je Projekt, die danach automatisch weiterläuft.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4.7 Dokumentenablage</w:t>
      </w:r>
    </w:p>
    <w:p>
      <w:pPr>
        <w:spacing w:after="140"/>
      </w:pPr>
      <w:r>
        <w:rPr>
          <w:rFonts w:ascii="IBM Plex Sans" w:cs="IBM Plex Sans" w:eastAsia="IBM Plex Sans" w:hAnsi="IBM Plex Sans"/>
          <w:color w:val="333333"/>
          <w:sz w:val="21"/>
          <w:szCs w:val="21"/>
        </w:rPr>
        <w:t xml:space="preserve">Datei-Uploads (Storage über Supabase) lassen sich an Kunden, Projekte, Anfragen, Zeiteinträge und Mitarbeitende hängen, kategorisiert über frei konfigurierbare Dokument-Kategorien.</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4.8 Mitarbeitende</w:t>
      </w:r>
    </w:p>
    <w:p>
      <w:pPr>
        <w:spacing w:after="140"/>
      </w:pPr>
      <w:r>
        <w:rPr>
          <w:rFonts w:ascii="IBM Plex Sans" w:cs="IBM Plex Sans" w:eastAsia="IBM Plex Sans" w:hAnsi="IBM Plex Sans"/>
          <w:color w:val="333333"/>
          <w:sz w:val="21"/>
          <w:szCs w:val="21"/>
        </w:rPr>
        <w:t xml:space="preserve">Stammdaten inkl. E-Mail-Adresse (Grundlage für Einladung und den Wiedervorlagen-Reminder), Rollen (Admin/Mitarbeitende) und eigene Dokumentenablage je Person.</w:t>
      </w:r>
    </w:p>
    <w:p>
      <w:pPr>
        <w:pStyle w:val="ListParagraph"/>
        <w:numPr>
          <w:ilvl w:val="0"/>
          <w:numId w:val="2"/>
        </w:numPr>
        <w:spacing w:after="60"/>
      </w:pPr>
      <w:r>
        <w:rPr>
          <w:rFonts w:ascii="IBM Plex Sans" w:cs="IBM Plex Sans" w:eastAsia="IBM Plex Sans" w:hAnsi="IBM Plex Sans"/>
          <w:b/>
          <w:bCs/>
          <w:color w:val="0E0C19"/>
          <w:sz w:val="21"/>
          <w:szCs w:val="21"/>
        </w:rPr>
        <w:t xml:space="preserve">Farbe: </w:t>
      </w:r>
      <w:r>
        <w:rPr>
          <w:rFonts w:ascii="IBM Plex Sans" w:cs="IBM Plex Sans" w:eastAsia="IBM Plex Sans" w:hAnsi="IBM Plex Sans"/>
          <w:color w:val="333333"/>
          <w:sz w:val="21"/>
          <w:szCs w:val="21"/>
        </w:rPr>
        <w:t xml:space="preserve">jede Person hat eine eigene Farbe (automatisch aus einer festen Palette vergeben, von Admins frei überschreibbar) – Grundlage für die Farbcodierung im Kalender (siehe 4.5).</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4.9 Einstellungen (Admin)</w:t>
      </w:r>
    </w:p>
    <w:p>
      <w:pPr>
        <w:spacing w:after="140"/>
      </w:pPr>
      <w:r>
        <w:rPr>
          <w:rFonts w:ascii="IBM Plex Sans" w:cs="IBM Plex Sans" w:eastAsia="IBM Plex Sans" w:hAnsi="IBM Plex Sans"/>
          <w:color w:val="333333"/>
          <w:sz w:val="21"/>
          <w:szCs w:val="21"/>
        </w:rPr>
        <w:t xml:space="preserve">Zentrale Konfiguration statt hart codierter Werte im Programmcode: Rabattsätze, Anfrage-Kanäle, Anfrage-Prioritäten und Dokument-Kategorien lassen sich hier verwalten, ohne dass eine Codeänderung nötig wäre.</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4.10 Hilfe / Benutzeranleitung</w:t>
      </w:r>
    </w:p>
    <w:p>
      <w:pPr>
        <w:spacing w:after="140"/>
      </w:pPr>
      <w:r>
        <w:rPr>
          <w:rFonts w:ascii="IBM Plex Sans" w:cs="IBM Plex Sans" w:eastAsia="IBM Plex Sans" w:hAnsi="IBM Plex Sans"/>
          <w:color w:val="333333"/>
          <w:sz w:val="21"/>
          <w:szCs w:val="21"/>
        </w:rPr>
        <w:t xml:space="preserve">Eine vollständige Benutzeranleitung ist direkt in der Anwendung integriert – kein separates PDF, das schnell veraltet. Wichtig für den Verkauf an Kunden: neue Benutzer finden sich selbstständig zurecht, ohne dass für jede Frage ein Support-Kontakt nötig wäre.</w:t>
      </w:r>
    </w:p>
    <w:p>
      <w:pPr>
        <w:pStyle w:val="ListParagraph"/>
        <w:numPr>
          <w:ilvl w:val="0"/>
          <w:numId w:val="2"/>
        </w:numPr>
        <w:spacing w:after="60"/>
      </w:pPr>
      <w:r>
        <w:rPr>
          <w:rFonts w:ascii="IBM Plex Sans" w:cs="IBM Plex Sans" w:eastAsia="IBM Plex Sans" w:hAnsi="IBM Plex Sans"/>
          <w:b/>
          <w:bCs/>
          <w:color w:val="0E0C19"/>
          <w:sz w:val="21"/>
          <w:szCs w:val="21"/>
        </w:rPr>
        <w:t xml:space="preserve">Stichwortsuche: </w:t>
      </w:r>
      <w:r>
        <w:rPr>
          <w:rFonts w:ascii="IBM Plex Sans" w:cs="IBM Plex Sans" w:eastAsia="IBM Plex Sans" w:hAnsi="IBM Plex Sans"/>
          <w:color w:val="333333"/>
          <w:sz w:val="21"/>
          <w:szCs w:val="21"/>
        </w:rPr>
        <w:t xml:space="preserve">durchsucht Titel, Kategorie, Stichworte und den vollständigen Artikeltext.</w:t>
      </w:r>
    </w:p>
    <w:p>
      <w:pPr>
        <w:pStyle w:val="ListParagraph"/>
        <w:numPr>
          <w:ilvl w:val="0"/>
          <w:numId w:val="2"/>
        </w:numPr>
        <w:spacing w:after="60"/>
      </w:pPr>
      <w:r>
        <w:rPr>
          <w:rFonts w:ascii="IBM Plex Sans" w:cs="IBM Plex Sans" w:eastAsia="IBM Plex Sans" w:hAnsi="IBM Plex Sans"/>
          <w:b/>
          <w:bCs/>
          <w:color w:val="0E0C19"/>
          <w:sz w:val="21"/>
          <w:szCs w:val="21"/>
        </w:rPr>
        <w:t xml:space="preserve">Kontextsensitiv: </w:t>
      </w:r>
      <w:r>
        <w:rPr>
          <w:rFonts w:ascii="IBM Plex Sans" w:cs="IBM Plex Sans" w:eastAsia="IBM Plex Sans" w:hAnsi="IBM Plex Sans"/>
          <w:color w:val="333333"/>
          <w:sz w:val="21"/>
          <w:szCs w:val="21"/>
        </w:rPr>
        <w:t xml:space="preserve">ein "❓ Hilfe"-Link in der Navigation öffnet je nach aktueller Seite automatisch den passenden Artikel – auf der Zeiterfassung landet man direkt bei der Zeiterfassungs-Hilfe, ohne suchen zu müssen.</w:t>
      </w:r>
    </w:p>
    <w:p>
      <w:pPr>
        <w:pStyle w:val="ListParagraph"/>
        <w:numPr>
          <w:ilvl w:val="0"/>
          <w:numId w:val="2"/>
        </w:numPr>
        <w:spacing w:after="60"/>
      </w:pPr>
      <w:r>
        <w:rPr>
          <w:rFonts w:ascii="IBM Plex Sans" w:cs="IBM Plex Sans" w:eastAsia="IBM Plex Sans" w:hAnsi="IBM Plex Sans"/>
          <w:b/>
          <w:bCs/>
          <w:color w:val="0E0C19"/>
          <w:sz w:val="21"/>
          <w:szCs w:val="21"/>
        </w:rPr>
        <w:t xml:space="preserve">Druckfunktion: </w:t>
      </w:r>
      <w:r>
        <w:rPr>
          <w:rFonts w:ascii="IBM Plex Sans" w:cs="IBM Plex Sans" w:eastAsia="IBM Plex Sans" w:hAnsi="IBM Plex Sans"/>
          <w:color w:val="333333"/>
          <w:sz w:val="21"/>
          <w:szCs w:val="21"/>
        </w:rPr>
        <w:t xml:space="preserve">jeder Artikel einzeln sowie die komplette Anleitung als ein zusammenhängendes, druckfreundliches Dokument (ein Artikel je Seite).</w:t>
      </w:r>
    </w:p>
    <w:p>
      <w:pPr>
        <w:pStyle w:val="ListParagraph"/>
        <w:numPr>
          <w:ilvl w:val="0"/>
          <w:numId w:val="2"/>
        </w:numPr>
        <w:spacing w:after="60"/>
      </w:pPr>
      <w:r>
        <w:rPr>
          <w:rFonts w:ascii="IBM Plex Sans" w:cs="IBM Plex Sans" w:eastAsia="IBM Plex Sans" w:hAnsi="IBM Plex Sans"/>
          <w:b/>
          <w:bCs/>
          <w:color w:val="0E0C19"/>
          <w:sz w:val="21"/>
          <w:szCs w:val="21"/>
        </w:rPr>
        <w:t xml:space="preserve">13 Artikel: </w:t>
      </w:r>
      <w:r>
        <w:rPr>
          <w:rFonts w:ascii="IBM Plex Sans" w:cs="IBM Plex Sans" w:eastAsia="IBM Plex Sans" w:hAnsi="IBM Plex Sans"/>
          <w:color w:val="333333"/>
          <w:sz w:val="21"/>
          <w:szCs w:val="21"/>
        </w:rPr>
        <w:t xml:space="preserve">alle Module abdeckend, mit Screenshots aus der echten Anwendung an den wichtigsten Stellen.</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5. Durchgängige Schnellerfassung &amp; Dubletten-Schutz</w:t>
      </w:r>
    </w:p>
    <w:p>
      <w:pPr>
        <w:spacing w:after="140"/>
      </w:pPr>
      <w:r>
        <w:rPr>
          <w:rFonts w:ascii="IBM Plex Sans" w:cs="IBM Plex Sans" w:eastAsia="IBM Plex Sans" w:hAnsi="IBM Plex Sans"/>
          <w:color w:val="333333"/>
          <w:sz w:val="21"/>
          <w:szCs w:val="21"/>
        </w:rPr>
        <w:t xml:space="preserve">Damit die tägliche Arbeit nicht durch Seitenwechsel unterbrochen wird, lässt sich aus jedem betroffenen Formular heraus ein fehlender Kunde oder ein fehlendes Projekt direkt angelegt werden – als durchgängiges Prinzip, nicht als Einzelfall-Lösung für eine bestimmte Maske.</w:t>
      </w:r>
    </w:p>
    <w:tbl>
      <w:tblPr>
        <w:tblW w:type="pct" w:w="100%"/>
        <w:tblBorders>
          <w:top w:val="single" w:color="D1D5DB" w:sz="4"/>
          <w:left w:val="none"/>
          <w:bottom w:val="single" w:color="D1D5DB" w:sz="4"/>
          <w:right w:val="none"/>
          <w:insideH w:val="single" w:color="E5E7EB" w:sz="4"/>
          <w:insideV w:val="none"/>
        </w:tblBorders>
      </w:tblPr>
      <w:tblGrid>
        <w:gridCol w:w="3200"/>
        <w:gridCol w:w="6160"/>
      </w:tblGrid>
      <w:tr>
        <w:trPr>
          <w:tblHeader/>
        </w:trPr>
        <w:tc>
          <w:tcPr>
            <w:tcW w:type="dxa" w:w="320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Formular</w:t>
            </w:r>
          </w:p>
        </w:tc>
        <w:tc>
          <w:tcPr>
            <w:tcW w:type="dxa" w:w="616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Kann direkt neu anlegen</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Neue Anfrage</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Kunde, Projekt (inkl. verschachtelt: Kunde für dieses Projekt)</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Neues/bestehendes Projekt</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Kunde</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Zeiterfassung</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Projekt (inkl. verschachtelt: Kunde für dieses Projekt)</w:t>
            </w:r>
          </w:p>
        </w:tc>
      </w:tr>
    </w:tbl>
    <w:p>
      <w:pPr>
        <w:pStyle w:val="Heading2"/>
        <w:spacing w:after="140" w:before="280"/>
      </w:pPr>
      <w:r>
        <w:rPr>
          <w:rFonts w:ascii="IBM Plex Sans Condensed" w:cs="IBM Plex Sans Condensed" w:eastAsia="IBM Plex Sans Condensed" w:hAnsi="IBM Plex Sans Condensed"/>
          <w:b/>
          <w:bCs/>
          <w:color w:val="457B9D"/>
          <w:sz w:val="24"/>
          <w:szCs w:val="24"/>
        </w:rPr>
        <w:t xml:space="preserve">Technische Umsetzung</w:t>
      </w:r>
    </w:p>
    <w:p>
      <w:pPr>
        <w:spacing w:after="140"/>
      </w:pPr>
      <w:r>
        <w:rPr>
          <w:rFonts w:ascii="IBM Plex Sans" w:cs="IBM Plex Sans" w:eastAsia="IBM Plex Sans" w:hAnsi="IBM Plex Sans"/>
          <w:color w:val="333333"/>
          <w:sz w:val="21"/>
          <w:szCs w:val="21"/>
        </w:rPr>
        <w:t xml:space="preserve">Die Schnellerfassung ist als wiederverwendbarer React-Hook umgesetzt (useKundeSchnellErstellen, useProjektSchnellErstellen), der ein Formular als Modal-Dialog liefert. Ein Formular kann so mehrfach im selben Formular verschachtelt werden – etwa „neues Projekt“ innerhalb von „neue Anfrage“, das seinerseits wieder „neuer Kunde“ enthalten kann, falls auch der Kunde noch fehlt.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Dubletten-Warnung</w:t>
      </w:r>
    </w:p>
    <w:p>
      <w:pPr>
        <w:spacing w:after="140"/>
      </w:pPr>
      <w:r>
        <w:rPr>
          <w:rFonts w:ascii="IBM Plex Sans" w:cs="IBM Plex Sans" w:eastAsia="IBM Plex Sans" w:hAnsi="IBM Plex Sans"/>
          <w:color w:val="333333"/>
          <w:sz w:val="21"/>
          <w:szCs w:val="21"/>
        </w:rPr>
        <w:t xml:space="preserve">Damit die Schnellerfassung nicht zu versehentlichen doppelten Kunden oder Projekten führt – insbesondere wenn mehrere Mitarbeitende gleichzeitig arbeiten – prüft die Anwendung beim Anlegen serverseitig gegen den aktuellen Datenbankstand, ob bereits ein Eintrag mit demselben Namen existiert.</w:t>
      </w:r>
    </w:p>
    <w:p>
      <w:pPr>
        <w:pStyle w:val="ListParagraph"/>
        <w:numPr>
          <w:ilvl w:val="0"/>
          <w:numId w:val="2"/>
        </w:numPr>
        <w:spacing w:after="60"/>
      </w:pPr>
      <w:r>
        <w:rPr>
          <w:rFonts w:ascii="IBM Plex Sans" w:cs="IBM Plex Sans" w:eastAsia="IBM Plex Sans" w:hAnsi="IBM Plex Sans"/>
          <w:b/>
          <w:bCs/>
          <w:color w:val="0E0C19"/>
          <w:sz w:val="21"/>
          <w:szCs w:val="21"/>
        </w:rPr>
        <w:t xml:space="preserve">Prüfung läuft gegen die Datenbank, nicht den Browser: </w:t>
      </w:r>
      <w:r>
        <w:rPr>
          <w:rFonts w:ascii="IBM Plex Sans" w:cs="IBM Plex Sans" w:eastAsia="IBM Plex Sans" w:hAnsi="IBM Plex Sans"/>
          <w:color w:val="333333"/>
          <w:sz w:val="21"/>
          <w:szCs w:val="21"/>
        </w:rPr>
        <w:t xml:space="preserve">greift dadurch auch, wenn zwei Personen zur selben Zeit an unterschiedlichen Rechnern arbeiten.</w:t>
      </w:r>
    </w:p>
    <w:p>
      <w:pPr>
        <w:pStyle w:val="ListParagraph"/>
        <w:numPr>
          <w:ilvl w:val="0"/>
          <w:numId w:val="2"/>
        </w:numPr>
        <w:spacing w:after="60"/>
      </w:pPr>
      <w:r>
        <w:rPr>
          <w:rFonts w:ascii="IBM Plex Sans" w:cs="IBM Plex Sans" w:eastAsia="IBM Plex Sans" w:hAnsi="IBM Plex Sans"/>
          <w:b/>
          <w:bCs/>
          <w:color w:val="0E0C19"/>
          <w:sz w:val="21"/>
          <w:szCs w:val="21"/>
        </w:rPr>
        <w:t xml:space="preserve">Bei einem Treffer: </w:t>
      </w:r>
      <w:r>
        <w:rPr>
          <w:rFonts w:ascii="IBM Plex Sans" w:cs="IBM Plex Sans" w:eastAsia="IBM Plex Sans" w:hAnsi="IBM Plex Sans"/>
          <w:color w:val="333333"/>
          <w:sz w:val="21"/>
          <w:szCs w:val="21"/>
        </w:rPr>
        <w:t xml:space="preserve">Auswahl zwischen „Bestehenden verwenden“ (übernimmt den gefundenen Datensatz) oder „Trotzdem neu anlegen“ (bewusste Dublette, z.B. gleicher Name, anderer Kunde).</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6. Aktive Benachrichtigungen</w:t>
      </w:r>
    </w:p>
    <w:p>
      <w:pPr>
        <w:spacing w:after="140"/>
      </w:pPr>
      <w:r>
        <w:rPr>
          <w:rFonts w:ascii="IBM Plex Sans" w:cs="IBM Plex Sans" w:eastAsia="IBM Plex Sans" w:hAnsi="IBM Plex Sans"/>
          <w:color w:val="333333"/>
          <w:sz w:val="21"/>
          <w:szCs w:val="21"/>
        </w:rPr>
        <w:t xml:space="preserve">Zwei Ereignisse lösen aktiv eine Benachrichtigung aus, statt sich nur passiv auf einer Seite zu zeigen, die man ohnehin öffnen müsste: eine fällige Wiedervorlage und eine neue Zuweisung.</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6.1 Wiedervorlagen</w:t>
      </w:r>
    </w:p>
    <w:p>
      <w:pPr>
        <w:spacing w:after="140"/>
      </w:pPr>
      <w:r>
        <w:rPr>
          <w:rFonts w:ascii="IBM Plex Sans" w:cs="IBM Plex Sans" w:eastAsia="IBM Plex Sans" w:hAnsi="IBM Plex Sans"/>
          <w:color w:val="333333"/>
          <w:sz w:val="21"/>
          <w:szCs w:val="21"/>
        </w:rPr>
        <w:t xml:space="preserve">Ursprünglich meldete sich eine fällige Wiedervorlage nur passiv über ein Widget auf der Übersichtsseite – wer diese nicht aktiv öffnete, verpasste den Termin. Ergänzt wurden deshalb drei aktive Bausteine.</w:t>
      </w:r>
    </w:p>
    <w:p>
      <w:pPr>
        <w:pStyle w:val="ListParagraph"/>
        <w:numPr>
          <w:ilvl w:val="0"/>
          <w:numId w:val="2"/>
        </w:numPr>
        <w:spacing w:after="60"/>
      </w:pPr>
      <w:r>
        <w:rPr>
          <w:rFonts w:ascii="IBM Plex Sans" w:cs="IBM Plex Sans" w:eastAsia="IBM Plex Sans" w:hAnsi="IBM Plex Sans"/>
          <w:b/>
          <w:bCs/>
          <w:color w:val="0E0C19"/>
          <w:sz w:val="21"/>
          <w:szCs w:val="21"/>
        </w:rPr>
        <w:t xml:space="preserve">Badge in der Navigation: </w:t>
      </w:r>
      <w:r>
        <w:rPr>
          <w:rFonts w:ascii="IBM Plex Sans" w:cs="IBM Plex Sans" w:eastAsia="IBM Plex Sans" w:hAnsi="IBM Plex Sans"/>
          <w:color w:val="333333"/>
          <w:sz w:val="21"/>
          <w:szCs w:val="21"/>
        </w:rPr>
        <w:t xml:space="preserve">ein roter Zähler neben dem Menüpunkt „Anfragen“ zeigt die Anzahl fälliger, der eigenen Person zugewiesener Wiedervorlagen – sichtbar, sobald man irgendwo in der Anwendung eingeloggt ist.</w:t>
      </w:r>
    </w:p>
    <w:p>
      <w:pPr>
        <w:pStyle w:val="ListParagraph"/>
        <w:numPr>
          <w:ilvl w:val="0"/>
          <w:numId w:val="2"/>
        </w:numPr>
        <w:spacing w:after="60"/>
      </w:pPr>
      <w:r>
        <w:rPr>
          <w:rFonts w:ascii="IBM Plex Sans" w:cs="IBM Plex Sans" w:eastAsia="IBM Plex Sans" w:hAnsi="IBM Plex Sans"/>
          <w:b/>
          <w:bCs/>
          <w:color w:val="0E0C19"/>
          <w:sz w:val="21"/>
          <w:szCs w:val="21"/>
        </w:rPr>
        <w:t xml:space="preserve">Täglicher E-Mail-Reminder: </w:t>
      </w:r>
      <w:r>
        <w:rPr>
          <w:rFonts w:ascii="IBM Plex Sans" w:cs="IBM Plex Sans" w:eastAsia="IBM Plex Sans" w:hAnsi="IBM Plex Sans"/>
          <w:color w:val="333333"/>
          <w:sz w:val="21"/>
          <w:szCs w:val="21"/>
        </w:rPr>
        <w:t xml:space="preserve">eine automatische Zusammenfassung per E-Mail, versendet um 07:30 Uhr Schweizer Zeit an jede Person mit mindestens einer fälligen Wiedervorlage, mit Direktlinks zur jeweiligen Anfrage.</w:t>
      </w:r>
    </w:p>
    <w:p>
      <w:pPr>
        <w:pStyle w:val="ListParagraph"/>
        <w:numPr>
          <w:ilvl w:val="0"/>
          <w:numId w:val="2"/>
        </w:numPr>
        <w:spacing w:after="60"/>
      </w:pPr>
      <w:r>
        <w:rPr>
          <w:rFonts w:ascii="IBM Plex Sans" w:cs="IBM Plex Sans" w:eastAsia="IBM Plex Sans" w:hAnsi="IBM Plex Sans"/>
          <w:b/>
          <w:bCs/>
          <w:color w:val="0E0C19"/>
          <w:sz w:val="21"/>
          <w:szCs w:val="21"/>
        </w:rPr>
        <w:t xml:space="preserve">Automatischer Spaltenwechsel im Kanban-Board: </w:t>
      </w:r>
      <w:r>
        <w:rPr>
          <w:rFonts w:ascii="IBM Plex Sans" w:cs="IBM Plex Sans" w:eastAsia="IBM Plex Sans" w:hAnsi="IBM Plex Sans"/>
          <w:color w:val="333333"/>
          <w:sz w:val="21"/>
          <w:szCs w:val="21"/>
        </w:rPr>
        <w:t xml:space="preserve">eine fällige, noch nicht erledigte Anfrage wechselt zeitgleich mit dem Mailversand automatisch in die Spalte „Wiedervorlage“ – unabhängig davon, ob sie zugewiesen ist. Bereits dort liegende Anfragen werden nicht nochmals angefasst, damit eine manuelle Rückverschiebung durch Mitarbeitende nicht beim nächsten Lauf wieder überschrieben wird.</w:t>
      </w:r>
    </w:p>
    <w:tbl>
      <w:tblPr>
        <w:tblW w:type="pct" w:w="100%"/>
        <w:tblBorders>
          <w:top w:val="single" w:color="D1D5DB" w:sz="4"/>
          <w:left w:val="none"/>
          <w:bottom w:val="single" w:color="D1D5DB" w:sz="4"/>
          <w:right w:val="none"/>
          <w:insideH w:val="single" w:color="E5E7EB" w:sz="4"/>
          <w:insideV w:val="none"/>
        </w:tblBorders>
      </w:tblPr>
      <w:tblGrid>
        <w:gridCol w:w="2800"/>
        <w:gridCol w:w="6560"/>
      </w:tblGrid>
      <w:tr>
        <w:tc>
          <w:tcPr>
            <w:tcW w:type="dxa" w:w="2800"/>
            <w:shd w:fill="F1F5F9"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Auslöser</w:t>
            </w:r>
          </w:p>
        </w:tc>
        <w:tc>
          <w:tcPr>
            <w:tcW w:type="dxa" w:w="6560"/>
            <w:shd w:fill="F1F5F9"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Vercel Cron Job (serverlose, zeitgesteuerte Funktion)</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Versandzeit</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07:30 Uhr Schweizer Ortszeit, ganzjährig (Sommer-/Winterzeit-Umschaltung eingebaut)</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Versandweg</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Hostpoint-SMTP über nodemailer</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Absender</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reminder@arcocloud.ch</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Empfänger je Mail</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eine Person – nur eigene, zugewiesene, noch nicht erledigte Wiedervorlagen</w:t>
            </w:r>
          </w:p>
        </w:tc>
      </w:tr>
      <w:tr>
        <w:tc>
          <w:tcPr>
            <w:tcW w:type="dxa" w:w="2800"/>
            <w:shd w:fill="FFFFFF" w:val="clear"/>
            <w:tcMar>
              <w:top w:type="dxa" w:w="80"/>
              <w:left w:type="dxa" w:w="100"/>
              <w:bottom w:type="dxa" w:w="80"/>
              <w:right w:type="dxa" w:w="100"/>
            </w:tcMar>
          </w:tcPr>
          <w:p>
            <w:r>
              <w:rPr>
                <w:rFonts w:ascii="IBM Plex Sans" w:cs="IBM Plex Sans" w:eastAsia="IBM Plex Sans" w:hAnsi="IBM Plex Sans"/>
                <w:b/>
                <w:bCs/>
                <w:color w:val="0E0C19"/>
                <w:sz w:val="20"/>
                <w:szCs w:val="20"/>
              </w:rPr>
              <w:t xml:space="preserve">Absicherung</w:t>
            </w:r>
          </w:p>
        </w:tc>
        <w:tc>
          <w:tcPr>
            <w:tcW w:type="dxa" w:w="6560"/>
            <w:shd w:fill="FFFFFF" w:val="clear"/>
            <w:tcMar>
              <w:top w:type="dxa" w:w="80"/>
              <w:left w:type="dxa" w:w="100"/>
              <w:bottom w:type="dxa" w:w="80"/>
              <w:right w:type="dxa" w:w="100"/>
            </w:tcMar>
          </w:tcPr>
          <w:p>
            <w:r>
              <w:rPr>
                <w:rFonts w:ascii="IBM Plex Sans" w:cs="IBM Plex Sans" w:eastAsia="IBM Plex Sans" w:hAnsi="IBM Plex Sans"/>
                <w:color w:val="333333"/>
                <w:sz w:val="20"/>
                <w:szCs w:val="20"/>
              </w:rPr>
              <w:t xml:space="preserve">eigener Geheimschlüssel (CRON_SECRET); Route läuft ohne Login-Session</w:t>
            </w:r>
          </w:p>
        </w:tc>
      </w:tr>
    </w:tbl>
    <w:p>
      <w:pPr>
        <w:pBdr>
          <w:left w:val="single" w:color="457B9D" w:sz="18" w:space="8"/>
        </w:pBdr>
        <w:spacing w:after="160" w:before="60"/>
        <w:ind w:left="120"/>
      </w:pPr>
      <w:r>
        <w:rPr>
          <w:rFonts w:ascii="IBM Plex Sans" w:cs="IBM Plex Sans" w:eastAsia="IBM Plex Sans" w:hAnsi="IBM Plex Sans"/>
          <w:i/>
          <w:iCs/>
          <w:color w:val="333333"/>
          <w:sz w:val="20"/>
          <w:szCs w:val="20"/>
        </w:rPr>
        <w:t xml:space="preserve">Vercel Cron Jobs kennen nur feste UTC-Zeiten ohne automatische Sommerzeit-Anpassung. Damit der Versand ganzjährig exakt um 07:30 Uhr Schweizer Zeit bleibt, sind zwei Cron-Zeitpunkte konfiguriert (für Winter- und Sommerzeit); die Route selbst prüft die aktuelle Zürcher Ortszeit und überspringt den jeweils falschen Aufruf ohne Versand.</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6.2 Zuweisung einer Anfrage</w:t>
      </w:r>
    </w:p>
    <w:p>
      <w:pPr>
        <w:spacing w:after="140"/>
      </w:pPr>
      <w:r>
        <w:rPr>
          <w:rFonts w:ascii="IBM Plex Sans" w:cs="IBM Plex Sans" w:eastAsia="IBM Plex Sans" w:hAnsi="IBM Plex Sans"/>
          <w:color w:val="333333"/>
          <w:sz w:val="21"/>
          <w:szCs w:val="21"/>
        </w:rPr>
        <w:t xml:space="preserve">Wird eine Anfrage bei der Erfassung direkt zugewiesen oder die Zuweisung im Bearbeiten-Formular geändert, erhält die neu zugewiesene Person automatisch eine E-Mail – mit Titel der Anfrage, direktem Link darauf und dem Namen der Person, die zugewiesen hat.</w:t>
      </w:r>
    </w:p>
    <w:p>
      <w:pPr>
        <w:pStyle w:val="ListParagraph"/>
        <w:numPr>
          <w:ilvl w:val="0"/>
          <w:numId w:val="2"/>
        </w:numPr>
        <w:spacing w:after="60"/>
      </w:pPr>
      <w:r>
        <w:rPr>
          <w:rFonts w:ascii="IBM Plex Sans" w:cs="IBM Plex Sans" w:eastAsia="IBM Plex Sans" w:hAnsi="IBM Plex Sans"/>
          <w:b/>
          <w:bCs/>
          <w:color w:val="0E0C19"/>
          <w:sz w:val="21"/>
          <w:szCs w:val="21"/>
        </w:rPr>
        <w:t xml:space="preserve">Selbstzuweisung löst keine Mail aus: </w:t>
      </w:r>
      <w:r>
        <w:rPr>
          <w:rFonts w:ascii="IBM Plex Sans" w:cs="IBM Plex Sans" w:eastAsia="IBM Plex Sans" w:hAnsi="IBM Plex Sans"/>
          <w:color w:val="333333"/>
          <w:sz w:val="21"/>
          <w:szCs w:val="21"/>
        </w:rPr>
        <w:t xml:space="preserve">übernimmt sich jemand eine noch nicht zugewiesene Anfrage selbst (Button „Übernehmen“), wäre eine Benachrichtigung an sich selbst über die eigene Aktion nutzlos.</w:t>
      </w:r>
    </w:p>
    <w:p>
      <w:pPr>
        <w:pStyle w:val="ListParagraph"/>
        <w:numPr>
          <w:ilvl w:val="0"/>
          <w:numId w:val="2"/>
        </w:numPr>
        <w:spacing w:after="60"/>
      </w:pPr>
      <w:r>
        <w:rPr>
          <w:rFonts w:ascii="IBM Plex Sans" w:cs="IBM Plex Sans" w:eastAsia="IBM Plex Sans" w:hAnsi="IBM Plex Sans"/>
          <w:b/>
          <w:bCs/>
          <w:color w:val="0E0C19"/>
          <w:sz w:val="21"/>
          <w:szCs w:val="21"/>
        </w:rPr>
        <w:t xml:space="preserve">Fehlertolerant: </w:t>
      </w:r>
      <w:r>
        <w:rPr>
          <w:rFonts w:ascii="IBM Plex Sans" w:cs="IBM Plex Sans" w:eastAsia="IBM Plex Sans" w:hAnsi="IBM Plex Sans"/>
          <w:color w:val="333333"/>
          <w:sz w:val="21"/>
          <w:szCs w:val="21"/>
        </w:rPr>
        <w:t xml:space="preserve">ein SMTP-Ausfall verhindert nie das Speichern der Anfrage selbst – ein Versandfehler wird nur geloggt.</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7. Betrieb &amp; Wartung</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Deployment</w:t>
      </w:r>
    </w:p>
    <w:p>
      <w:pPr>
        <w:spacing w:after="140"/>
      </w:pPr>
      <w:r>
        <w:rPr>
          <w:rFonts w:ascii="IBM Plex Sans" w:cs="IBM Plex Sans" w:eastAsia="IBM Plex Sans" w:hAnsi="IBM Plex Sans"/>
          <w:color w:val="333333"/>
          <w:sz w:val="21"/>
          <w:szCs w:val="21"/>
        </w:rPr>
        <w:t xml:space="preserve">Jeder Push auf den main-Branch des GitHub-Repositories löst automatisch ein neues Deployment auf Vercel aus. Es gibt keinen manuellen Deployment-Schritt.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Umgebungsvariablen</w:t>
      </w:r>
    </w:p>
    <w:p>
      <w:pPr>
        <w:spacing w:after="140"/>
      </w:pPr>
      <w:r>
        <w:rPr>
          <w:rFonts w:ascii="IBM Plex Sans" w:cs="IBM Plex Sans" w:eastAsia="IBM Plex Sans" w:hAnsi="IBM Plex Sans"/>
          <w:color w:val="333333"/>
          <w:sz w:val="21"/>
          <w:szCs w:val="21"/>
        </w:rPr>
        <w:t xml:space="preserve">Zwei getrennte Sätze: lokal in .env.local (nie ins Repository committet) und produktiv in den Vercel-Projekteinstellungen. Eine Vorlage ohne echte Werte liegt als .env.local.example im Repository.</w:t>
      </w:r>
    </w:p>
    <w:tbl>
      <w:tblPr>
        <w:tblW w:type="pct" w:w="100%"/>
        <w:tblBorders>
          <w:top w:val="single" w:color="D1D5DB" w:sz="4"/>
          <w:left w:val="none"/>
          <w:bottom w:val="single" w:color="D1D5DB" w:sz="4"/>
          <w:right w:val="none"/>
          <w:insideH w:val="single" w:color="E5E7EB" w:sz="4"/>
          <w:insideV w:val="none"/>
        </w:tblBorders>
      </w:tblPr>
      <w:tblGrid>
        <w:gridCol w:w="3200"/>
        <w:gridCol w:w="6160"/>
      </w:tblGrid>
      <w:tr>
        <w:trPr>
          <w:tblHeader/>
        </w:trPr>
        <w:tc>
          <w:tcPr>
            <w:tcW w:type="dxa" w:w="320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Variable</w:t>
            </w:r>
          </w:p>
        </w:tc>
        <w:tc>
          <w:tcPr>
            <w:tcW w:type="dxa" w:w="616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Zweck</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NEXT_PUBLIC_SUPABASE_URL / _ANON_KEY</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Verbindung zur Datenbank (öffentlich, RLS-geschützt)</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SUPABASE_SERVICE_ROLE_KEY</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Voller Datenbankzugriff für Mitarbeitenden-Einladung &amp; Reminder-Cron</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SMTP_HOST / _PORT / _USER / _PASSWORD / _FROM</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E-Mail-Versand des Wiedervorlagen-Reminders</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APP_URL</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Basis-URL für Links in System-Mails</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CRON_SECRET</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Schützt die Reminder-Route gegen fremde Aufrufe</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STRIPE_SECRET_KEY / NEXT_PUBLIC_STRIPE_PUBLISHABLE_KEY</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Stripe-API-Zugang für Checkout (Sandbox, solange nicht live geschaltet)</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STRIPE_PRICE_MONATLICH / STRIPE_PRICE_JAEHRLICH</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Die zwei Stripe-Price-IDs (Stufenpreise) für Monats-/Jahresabo</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STRIPE_WEBHOOK_SECRET</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Signaturprüfung für eingehende Stripe-Webhook-Events</w:t>
            </w:r>
          </w:p>
        </w:tc>
      </w:tr>
    </w:tbl>
    <w:p>
      <w:pPr>
        <w:pStyle w:val="Heading2"/>
        <w:spacing w:after="140" w:before="280"/>
      </w:pPr>
      <w:r>
        <w:rPr>
          <w:rFonts w:ascii="IBM Plex Sans Condensed" w:cs="IBM Plex Sans Condensed" w:eastAsia="IBM Plex Sans Condensed" w:hAnsi="IBM Plex Sans Condensed"/>
          <w:b/>
          <w:bCs/>
          <w:color w:val="457B9D"/>
          <w:sz w:val="24"/>
          <w:szCs w:val="24"/>
        </w:rPr>
        <w:t xml:space="preserve">Backup</w:t>
      </w:r>
    </w:p>
    <w:p>
      <w:pPr>
        <w:spacing w:after="140"/>
      </w:pPr>
      <w:r>
        <w:rPr>
          <w:rFonts w:ascii="IBM Plex Sans" w:cs="IBM Plex Sans" w:eastAsia="IBM Plex Sans" w:hAnsi="IBM Plex Sans"/>
          <w:color w:val="333333"/>
          <w:sz w:val="21"/>
          <w:szCs w:val="21"/>
        </w:rPr>
        <w:t xml:space="preserve">Manuell auslösbar per npm run backup – exportiert alle fachlichen Tabellen sowie die Dokumentenablage. Empfehlung: regelmässig ausführen und das Zielverzeichnis auf ein synchronisiertes Laufwerk (z.B. OneDrive) zeigen lassen, bis ein automatisches Backup (Supabase Pro) aktiv ist.</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8. Lizenzmodul, Selbstregistrierung &amp; Zahlungsabwicklung</w:t>
      </w:r>
    </w:p>
    <w:p>
      <w:pPr>
        <w:spacing w:after="140"/>
      </w:pPr>
      <w:r>
        <w:rPr>
          <w:rFonts w:ascii="IBM Plex Sans" w:cs="IBM Plex Sans" w:eastAsia="IBM Plex Sans" w:hAnsi="IBM Plex Sans"/>
          <w:color w:val="333333"/>
          <w:sz w:val="21"/>
          <w:szCs w:val="21"/>
        </w:rPr>
        <w:t xml:space="preserve">Mit dem Verkaufsstart an externe Kunden kam ein vollständiges Lizenz- und Abrechnungsmodul hinzu: Interessenten können sich selbst online registrieren, Lizenzen wählen, bezahlen und sofort losstarten – ohne dass Arcos manuell eingreifen muss. Für Ausnahmefälle (Rechnung/QR-Rechnung, Korrekturen) steht zusätzlich ein interner Plattform-Admin-Bereich zur Verfügung.</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8.1 Preismodell</w:t>
      </w:r>
    </w:p>
    <w:tbl>
      <w:tblPr>
        <w:tblW w:type="pct" w:w="100%"/>
        <w:tblBorders>
          <w:top w:val="single" w:color="D1D5DB" w:sz="4"/>
          <w:left w:val="none"/>
          <w:bottom w:val="single" w:color="D1D5DB" w:sz="4"/>
          <w:right w:val="none"/>
          <w:insideH w:val="single" w:color="E5E7EB" w:sz="4"/>
          <w:insideV w:val="none"/>
        </w:tblBorders>
      </w:tblPr>
      <w:tblGrid>
        <w:gridCol w:w="3200"/>
        <w:gridCol w:w="6160"/>
      </w:tblGrid>
      <w:tr>
        <w:trPr>
          <w:tblHeader/>
        </w:trPr>
        <w:tc>
          <w:tcPr>
            <w:tcW w:type="dxa" w:w="320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Anzahl Benutzer</w:t>
            </w:r>
          </w:p>
        </w:tc>
        <w:tc>
          <w:tcPr>
            <w:tcW w:type="dxa" w:w="616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Preis pro Benutzer</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1–9</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CHF 9.00 / Monat  ·  CHF 90.00 / Jahr</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10–19</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CHF 8.00 / Monat  ·  CHF 80.00 / Jahr</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20 und mehr</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CHF 7.00 / Monat  ·  CHF 70.00 / Jahr</w:t>
            </w:r>
          </w:p>
        </w:tc>
      </w:tr>
    </w:tbl>
    <w:p>
      <w:pPr>
        <w:spacing w:after="140"/>
      </w:pPr>
      <w:r>
        <w:rPr>
          <w:rFonts w:ascii="IBM Plex Sans" w:cs="IBM Plex Sans" w:eastAsia="IBM Plex Sans" w:hAnsi="IBM Plex Sans"/>
          <w:color w:val="333333"/>
          <w:sz w:val="21"/>
          <w:szCs w:val="21"/>
        </w:rPr>
        <w:t xml:space="preserve">Alle Preise inkl. MWST (Arcos Group ist MWST-pflichtig, MWST-Nr. CHE-116.097.916). Es gilt Volume-Pricing: die für die gewählte Gesamtanzahl erreichte Stufe gilt für alle Benutzer, nicht nur für die zusätzlichen (kein „Graduated Pricing“). Als „Benutzer“ zählt jedes eingeladene Konto unabhängig von der tatsächlichen Nutzung, Admin-Konten eingeschlossen (maximal zwei Admin-Konten je Organisation).</w:t>
      </w:r>
    </w:p>
    <w:p>
      <w:pPr>
        <w:spacing w:after="120"/>
      </w:pPr>
      <w:r>
        <w:rPr>
          <w:rFonts w:ascii="IBM Plex Sans" w:cs="IBM Plex Sans" w:eastAsia="IBM Plex Sans" w:hAnsi="IBM Plex Sans"/>
          <w:color w:val="0E0C19"/>
          <w:sz w:val="21"/>
          <w:szCs w:val="21"/>
        </w:rPr>
        <w:t xml:space="preserve">Bestpreis-Garantie: Weil bei Volume-Pricing der Satz der erreichten Stufe für alle Lizenzen gilt, wäre eine kleinere Menge stellenweise teurer als eine grössere – 9 Benutzer kosteten 81.00, 10 Benutzer nur 80.00. Die Registrierung rundet deshalb automatisch auf die günstigere Menge auf: Wer 9 Benutzer bestellt, erhält 10 Lizenzen zum tieferen Preis. Betroffen sind die Bestellmengen 9, 18 und 19. Niemand zahlt je mehr, als eine grössere Anzahl kosten würde.</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8.2 Selbstregistrierung (/registrieren)</w:t>
      </w:r>
    </w:p>
    <w:p>
      <w:pPr>
        <w:spacing w:after="140"/>
      </w:pPr>
      <w:r>
        <w:rPr>
          <w:rFonts w:ascii="IBM Plex Sans" w:cs="IBM Plex Sans" w:eastAsia="IBM Plex Sans" w:hAnsi="IBM Plex Sans"/>
          <w:color w:val="333333"/>
          <w:sz w:val="21"/>
          <w:szCs w:val="21"/>
        </w:rPr>
        <w:t xml:space="preserve">Öffentlich erreichbare Seite, kein Login nötig. Der Ablauf: Anzahl Benutzer wählen (Preis pro Monat/Jahr wird live berechnet) → Abrechnungszyklus wählen → optional 14 Tage kostenlose Testphase aktivieren → Firmen- und Kontaktdaten eingeben → Weiterleitung zu Stripe Checkout.</w:t>
      </w:r>
    </w:p>
    <w:p>
      <w:pPr>
        <w:pStyle w:val="ListParagraph"/>
        <w:numPr>
          <w:ilvl w:val="0"/>
          <w:numId w:val="2"/>
        </w:numPr>
        <w:spacing w:after="60"/>
      </w:pPr>
      <w:r>
        <w:rPr>
          <w:rFonts w:ascii="IBM Plex Sans" w:cs="IBM Plex Sans" w:eastAsia="IBM Plex Sans" w:hAnsi="IBM Plex Sans"/>
          <w:b/>
          <w:bCs/>
          <w:color w:val="0E0C19"/>
          <w:sz w:val="21"/>
          <w:szCs w:val="21"/>
        </w:rPr>
        <w:t xml:space="preserve">Testphase: </w:t>
      </w:r>
      <w:r>
        <w:rPr>
          <w:rFonts w:ascii="IBM Plex Sans" w:cs="IBM Plex Sans" w:eastAsia="IBM Plex Sans" w:hAnsi="IBM Plex Sans"/>
          <w:color w:val="333333"/>
          <w:sz w:val="21"/>
          <w:szCs w:val="21"/>
        </w:rPr>
        <w:t xml:space="preserve">14 Tage, bis zu 3 Benutzer, Zahlungsmittel wird bereits jetzt hinterlegt und nach Ablauf automatisch belastet – 2 Tage vor Ablauf erhält die Organisation eine Erinnerungsmail.</w:t>
      </w:r>
    </w:p>
    <w:p>
      <w:pPr>
        <w:pStyle w:val="ListParagraph"/>
        <w:numPr>
          <w:ilvl w:val="0"/>
          <w:numId w:val="2"/>
        </w:numPr>
        <w:spacing w:after="60"/>
      </w:pPr>
      <w:r>
        <w:rPr>
          <w:rFonts w:ascii="IBM Plex Sans" w:cs="IBM Plex Sans" w:eastAsia="IBM Plex Sans" w:hAnsi="IBM Plex Sans"/>
          <w:b/>
          <w:bCs/>
          <w:color w:val="0E0C19"/>
          <w:sz w:val="21"/>
          <w:szCs w:val="21"/>
        </w:rPr>
        <w:t xml:space="preserve">Bezahlvorgang: </w:t>
      </w:r>
      <w:r>
        <w:rPr>
          <w:rFonts w:ascii="IBM Plex Sans" w:cs="IBM Plex Sans" w:eastAsia="IBM Plex Sans" w:hAnsi="IBM Plex Sans"/>
          <w:color w:val="333333"/>
          <w:sz w:val="21"/>
          <w:szCs w:val="21"/>
        </w:rPr>
        <w:t xml:space="preserve">Stripe Checkout (gehostete, vorgefertigte Zahlungsseite), Zahlung per Karte oder TWINT. Klassische Rechnung/QR-Rechnung läuft ausserhalb von Stripe und wird von Arcos manuell im Plattform-Admin-Bereich freigeschaltet, sobald der Zahlungseingang geprüft ist.</w:t>
      </w:r>
    </w:p>
    <w:p>
      <w:pPr>
        <w:pStyle w:val="ListParagraph"/>
        <w:numPr>
          <w:ilvl w:val="0"/>
          <w:numId w:val="2"/>
        </w:numPr>
        <w:spacing w:after="60"/>
      </w:pPr>
      <w:r>
        <w:rPr>
          <w:rFonts w:ascii="IBM Plex Sans" w:cs="IBM Plex Sans" w:eastAsia="IBM Plex Sans" w:hAnsi="IBM Plex Sans"/>
          <w:b/>
          <w:bCs/>
          <w:color w:val="0E0C19"/>
          <w:sz w:val="21"/>
          <w:szCs w:val="21"/>
        </w:rPr>
        <w:t xml:space="preserve">Nach erfolgreicher Zahlung: </w:t>
      </w:r>
      <w:r>
        <w:rPr>
          <w:rFonts w:ascii="IBM Plex Sans" w:cs="IBM Plex Sans" w:eastAsia="IBM Plex Sans" w:hAnsi="IBM Plex Sans"/>
          <w:color w:val="333333"/>
          <w:sz w:val="21"/>
          <w:szCs w:val="21"/>
        </w:rPr>
        <w:t xml:space="preserve">die Organisation sowie das erste Admin-Konto entstehen automatisch (siehe 8.3), die Person erhält eine Einladungs-Mail zur Passwortvergabe – identisch zum normalen Einladungs-Flow.</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8.3 Technischer Ablauf (Stripe Checkout + Webhook)</w:t>
      </w:r>
    </w:p>
    <w:p>
      <w:pPr>
        <w:spacing w:after="140"/>
      </w:pPr>
      <w:r>
        <w:rPr>
          <w:rFonts w:ascii="IBM Plex Sans" w:cs="IBM Plex Sans" w:eastAsia="IBM Plex Sans" w:hAnsi="IBM Plex Sans"/>
          <w:color w:val="333333"/>
          <w:sz w:val="21"/>
          <w:szCs w:val="21"/>
        </w:rPr>
        <w:t xml:space="preserve">Die Organisation wird bewusst nicht bereits beim Absenden des Formulars angelegt, sondern erst, wenn Stripe die Zahlung tatsächlich bestätigt hat – über einen Webhook, der unabhängig vom Browser der registrierenden Person läuft.</w:t>
      </w:r>
    </w:p>
    <w:tbl>
      <w:tblPr>
        <w:tblW w:type="pct" w:w="100%"/>
        <w:tblBorders>
          <w:top w:val="single" w:color="D1D5DB" w:sz="4"/>
          <w:left w:val="none"/>
          <w:bottom w:val="single" w:color="D1D5DB" w:sz="4"/>
          <w:right w:val="none"/>
          <w:insideH w:val="single" w:color="E5E7EB" w:sz="4"/>
          <w:insideV w:val="none"/>
        </w:tblBorders>
      </w:tblPr>
      <w:tblGrid>
        <w:gridCol w:w="3200"/>
        <w:gridCol w:w="6160"/>
      </w:tblGrid>
      <w:tr>
        <w:trPr>
          <w:tblHeader/>
        </w:trPr>
        <w:tc>
          <w:tcPr>
            <w:tcW w:type="dxa" w:w="320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Stripe-Ereignis</w:t>
            </w:r>
          </w:p>
        </w:tc>
        <w:tc>
          <w:tcPr>
            <w:tcW w:type="dxa" w:w="6160"/>
            <w:shd w:fill="1D3557" w:val="clear"/>
            <w:tcMar>
              <w:top w:type="dxa" w:w="80"/>
              <w:left w:type="dxa" w:w="100"/>
              <w:bottom w:type="dxa" w:w="80"/>
              <w:right w:type="dxa" w:w="100"/>
            </w:tcMar>
          </w:tcPr>
          <w:p>
            <w:r>
              <w:rPr>
                <w:rFonts w:ascii="IBM Plex Sans" w:cs="IBM Plex Sans" w:eastAsia="IBM Plex Sans" w:hAnsi="IBM Plex Sans"/>
                <w:b/>
                <w:bCs/>
                <w:color w:val="FFFFFF"/>
                <w:sz w:val="20"/>
                <w:szCs w:val="20"/>
              </w:rPr>
              <w:t xml:space="preserve">Auswirkung in ArcoTime</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checkout.session.completed</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Legt Organisation + erstes Admin-Konto an (Einladungs-Mail wird versendet)</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invoice.paid</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Aktualisiert den nächsten Zahltermin, hebt eine evtl. Zahlungs-Sperre wieder auf</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invoice.payment_failed</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Sperrt die Organisation erst, wenn Stripe alle automatischen Wiederholungsversuche aufgegeben hat – informiert dann alle Admin-Konten per E-Mail</w:t>
            </w:r>
          </w:p>
        </w:tc>
      </w:tr>
      <w:tr>
        <w:tc>
          <w:tcPr>
            <w:tcW w:type="dxa" w:w="3200"/>
            <w:tcMar>
              <w:top w:type="dxa" w:w="80"/>
              <w:left w:type="dxa" w:w="100"/>
              <w:bottom w:type="dxa" w:w="80"/>
              <w:right w:type="dxa" w:w="100"/>
            </w:tcMar>
          </w:tcPr>
          <w:p>
            <w:r>
              <w:rPr>
                <w:rFonts w:ascii="IBM Plex Sans" w:cs="IBM Plex Sans" w:eastAsia="IBM Plex Sans" w:hAnsi="IBM Plex Sans"/>
                <w:color w:val="333333"/>
                <w:sz w:val="20"/>
                <w:szCs w:val="20"/>
              </w:rPr>
              <w:t xml:space="preserve">customer.subscription.deleted</w:t>
            </w:r>
          </w:p>
        </w:tc>
        <w:tc>
          <w:tcPr>
            <w:tcW w:type="dxa" w:w="6160"/>
            <w:tcMar>
              <w:top w:type="dxa" w:w="80"/>
              <w:left w:type="dxa" w:w="100"/>
              <w:bottom w:type="dxa" w:w="80"/>
              <w:right w:type="dxa" w:w="100"/>
            </w:tcMar>
          </w:tcPr>
          <w:p>
            <w:r>
              <w:rPr>
                <w:rFonts w:ascii="IBM Plex Sans" w:cs="IBM Plex Sans" w:eastAsia="IBM Plex Sans" w:hAnsi="IBM Plex Sans"/>
                <w:color w:val="333333"/>
                <w:sz w:val="20"/>
                <w:szCs w:val="20"/>
              </w:rPr>
              <w:t xml:space="preserve">Setzt den Status auf „gekündigt“</w:t>
            </w:r>
          </w:p>
        </w:tc>
      </w:tr>
    </w:tbl>
    <w:p>
      <w:pPr>
        <w:pStyle w:val="ListParagraph"/>
        <w:numPr>
          <w:ilvl w:val="0"/>
          <w:numId w:val="2"/>
        </w:numPr>
        <w:spacing w:after="60"/>
      </w:pPr>
      <w:r>
        <w:rPr>
          <w:rFonts w:ascii="IBM Plex Sans" w:cs="IBM Plex Sans" w:eastAsia="IBM Plex Sans" w:hAnsi="IBM Plex Sans"/>
          <w:b/>
          <w:bCs/>
          <w:color w:val="0E0C19"/>
          <w:sz w:val="21"/>
          <w:szCs w:val="21"/>
        </w:rPr>
        <w:t xml:space="preserve">Skalierung: </w:t>
      </w:r>
      <w:r>
        <w:rPr>
          <w:rFonts w:ascii="IBM Plex Sans" w:cs="IBM Plex Sans" w:eastAsia="IBM Plex Sans" w:hAnsi="IBM Plex Sans"/>
          <w:color w:val="333333"/>
          <w:sz w:val="21"/>
          <w:szCs w:val="21"/>
        </w:rPr>
        <w:t xml:space="preserve">eine Aufstockung der Lizenzen ist sofort aktiv, Stripe berechnet und belastet die Differenz automatisch bis zum nächsten Zahltermin. Eine Reduktion wird erst zum nächsten Zahltermin wirksam, ohne Rückerstattung.</w:t>
      </w:r>
    </w:p>
    <w:p>
      <w:pPr>
        <w:pStyle w:val="ListParagraph"/>
        <w:numPr>
          <w:ilvl w:val="0"/>
          <w:numId w:val="2"/>
        </w:numPr>
        <w:spacing w:after="60"/>
      </w:pPr>
      <w:r>
        <w:rPr>
          <w:rFonts w:ascii="IBM Plex Sans" w:cs="IBM Plex Sans" w:eastAsia="IBM Plex Sans" w:hAnsi="IBM Plex Sans"/>
          <w:b/>
          <w:bCs/>
          <w:color w:val="0E0C19"/>
          <w:sz w:val="21"/>
          <w:szCs w:val="21"/>
        </w:rPr>
        <w:t xml:space="preserve">Kündigung: </w:t>
      </w:r>
      <w:r>
        <w:rPr>
          <w:rFonts w:ascii="IBM Plex Sans" w:cs="IBM Plex Sans" w:eastAsia="IBM Plex Sans" w:hAnsi="IBM Plex Sans"/>
          <w:color w:val="333333"/>
          <w:sz w:val="21"/>
          <w:szCs w:val="21"/>
        </w:rPr>
        <w:t xml:space="preserve">beim Monatsabo jederzeit möglich, Zugriff bleibt bis zum Ende der bezahlten Periode; beim Jahresabo keine Rückerstattung bei vorzeitiger Kündigung.</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8.4 Zugriffssperre</w:t>
      </w:r>
    </w:p>
    <w:p>
      <w:pPr>
        <w:spacing w:after="140"/>
      </w:pPr>
      <w:r>
        <w:rPr>
          <w:rFonts w:ascii="IBM Plex Sans" w:cs="IBM Plex Sans" w:eastAsia="IBM Plex Sans" w:hAnsi="IBM Plex Sans"/>
          <w:color w:val="333333"/>
          <w:sz w:val="21"/>
          <w:szCs w:val="21"/>
        </w:rPr>
        <w:t xml:space="preserve">Ist der Status einer Organisation weder „aktiv“ noch „test“ (z.B. abgelaufene Testphase, fehlgeschlagene Zahlung, manuell pausiert oder gekündigt), werden alle Mitarbeitenden dieser Organisation automatisch auf eine eigene Sperrseite (/gesperrt) umgeleitet – mit einer zum jeweiligen Grund passenden Nachricht und dem Kontakt zu Arcos. Platform-Admins sind von dieser Sperre ausgenommen, damit sie sich beim Beheben eines Problems nie selbst aussperren.</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8.5 Plattform-Administration (nur Arcos)</w:t>
      </w:r>
    </w:p>
    <w:p>
      <w:pPr>
        <w:spacing w:after="140"/>
      </w:pPr>
      <w:r>
        <w:rPr>
          <w:rFonts w:ascii="IBM Plex Sans" w:cs="IBM Plex Sans" w:eastAsia="IBM Plex Sans" w:hAnsi="IBM Plex Sans"/>
          <w:color w:val="333333"/>
          <w:sz w:val="21"/>
          <w:szCs w:val="21"/>
        </w:rPr>
        <w:t xml:space="preserve">Ein eigener, per Datenbank-Flag geschützter Bereich (/plattform), sichtbar nur für Arcos-Mitarbeitende mit Platform-Admin-Rechten – unabhängig davon, welcher Kundenorganisation sie sonst zugeordnet sind. Ermöglicht das manuelle Anlegen von Organisationen, das Bearbeiten aller Abrechnungsfelder (Status, Lizenzen, Zyklus, Preis, Testphase, Zahltermin, Sperrgrund) für Korrekturen oder Kulanzfälle (z.B. Testphase manuell verlängern), das manuelle Freischalten bei Rechnungszahlung, sowie das organisationsübergreifende Bearbeiten von Personendaten und Reaktivieren deaktivierter Mitarbeitenden-Konten.</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8.6 Demo-Mandant</w:t>
      </w:r>
    </w:p>
    <w:p>
      <w:pPr>
        <w:spacing w:after="140"/>
      </w:pPr>
      <w:r>
        <w:rPr>
          <w:rFonts w:ascii="IBM Plex Sans" w:cs="IBM Plex Sans" w:eastAsia="IBM Plex Sans" w:hAnsi="IBM Plex Sans"/>
          <w:color w:val="333333"/>
          <w:sz w:val="21"/>
          <w:szCs w:val="21"/>
        </w:rPr>
        <w:t xml:space="preserve">Für Verkaufsdemos bei Interessenten existiert ein eigener, vollständig isolierter zweiter Mandant („Demo AG“) mit realistischen Beispieldaten (Kunden, Projekte, Anfragen in allen Kanban-Status, Zeiteinträge) – so lassen sich Demos zeigen, ohne produktive Arcos-Daten offenzulegen.</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9. Erweiterungen aus der Testphase</w:t>
      </w:r>
    </w:p>
    <w:p>
      <w:pPr>
        <w:spacing w:after="120"/>
      </w:pPr>
      <w:r>
        <w:rPr>
          <w:rFonts w:ascii="IBM Plex Sans" w:cs="IBM Plex Sans" w:eastAsia="IBM Plex Sans" w:hAnsi="IBM Plex Sans"/>
          <w:color w:val="0E0C19"/>
          <w:sz w:val="21"/>
          <w:szCs w:val="21"/>
        </w:rPr>
        <w:t xml:space="preserve">Die folgenden Erweiterungen entstanden im August 2026 während der intensiven Testphase nach Fertigstellung von Version 1.0. Sie bilden Anforderungen ab, die sich erst im praktischen Einsatz zeigten.</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9.1 Mengenartikel: Kilometer, Spesen und Material</w:t>
      </w:r>
    </w:p>
    <w:p>
      <w:pPr>
        <w:spacing w:after="120"/>
      </w:pPr>
      <w:r>
        <w:rPr>
          <w:rFonts w:ascii="IBM Plex Sans" w:cs="IBM Plex Sans" w:eastAsia="IBM Plex Sans" w:hAnsi="IBM Plex Sans"/>
          <w:color w:val="0E0C19"/>
          <w:sz w:val="21"/>
          <w:szCs w:val="21"/>
        </w:rPr>
        <w:t xml:space="preserve">Ursprünglich kannte das System nur eine Mengengrösse: die Dauer. Aus ihr entstanden Rechnungsbetrag, Auswertung und Exportmenge zugleich. Ein Kilometer oder eine Packung Kleinmaterial hat aber keine Dauer – und darf vor allem nicht als Arbeitszeit zählen.</w:t>
      </w:r>
    </w:p>
    <w:p>
      <w:pPr>
        <w:spacing w:after="120"/>
      </w:pPr>
      <w:r>
        <w:rPr>
          <w:rFonts w:ascii="IBM Plex Sans" w:cs="IBM Plex Sans" w:eastAsia="IBM Plex Sans" w:hAnsi="IBM Plex Sans"/>
          <w:color w:val="0E0C19"/>
          <w:sz w:val="21"/>
          <w:szCs w:val="21"/>
        </w:rPr>
        <w:t xml:space="preserve">Jede Dienstleistung trägt neu das Kennzeichen „Zählt als Arbeitszeit“:</w:t>
      </w:r>
    </w:p>
    <w:p>
      <w:pPr>
        <w:pStyle w:val="ListParagraph"/>
        <w:numPr>
          <w:ilvl w:val="0"/>
          <w:numId w:val="2"/>
        </w:numPr>
        <w:spacing w:after="60"/>
      </w:pPr>
      <w:r>
        <w:rPr>
          <w:rFonts w:ascii="IBM Plex Sans" w:cs="IBM Plex Sans" w:eastAsia="IBM Plex Sans" w:hAnsi="IBM Plex Sans"/>
          <w:b/>
          <w:bCs/>
          <w:color w:val="0E0C19"/>
          <w:sz w:val="21"/>
          <w:szCs w:val="21"/>
        </w:rPr>
        <w:t xml:space="preserve">Angehakt: </w:t>
      </w:r>
      <w:r>
        <w:rPr>
          <w:rFonts w:ascii="IBM Plex Sans" w:cs="IBM Plex Sans" w:eastAsia="IBM Plex Sans" w:hAnsi="IBM Plex Sans"/>
          <w:color w:val="0E0C19"/>
          <w:sz w:val="21"/>
          <w:szCs w:val="21"/>
        </w:rPr>
        <w:t xml:space="preserve">Erfassung über Von/Bis bzw. Dauer, fliesst in Stundenauswertungen ein.</w:t>
      </w:r>
    </w:p>
    <w:p>
      <w:pPr>
        <w:pStyle w:val="ListParagraph"/>
        <w:numPr>
          <w:ilvl w:val="0"/>
          <w:numId w:val="2"/>
        </w:numPr>
        <w:spacing w:after="60"/>
      </w:pPr>
      <w:r>
        <w:rPr>
          <w:rFonts w:ascii="IBM Plex Sans" w:cs="IBM Plex Sans" w:eastAsia="IBM Plex Sans" w:hAnsi="IBM Plex Sans"/>
          <w:b/>
          <w:bCs/>
          <w:color w:val="0E0C19"/>
          <w:sz w:val="21"/>
          <w:szCs w:val="21"/>
        </w:rPr>
        <w:t xml:space="preserve">Nicht angehakt: </w:t>
      </w:r>
      <w:r>
        <w:rPr>
          <w:rFonts w:ascii="IBM Plex Sans" w:cs="IBM Plex Sans" w:eastAsia="IBM Plex Sans" w:hAnsi="IBM Plex Sans"/>
          <w:color w:val="0E0C19"/>
          <w:sz w:val="21"/>
          <w:szCs w:val="21"/>
        </w:rPr>
        <w:t xml:space="preserve">Erfassung über eine Menge in der Einheit der Dienstleistung (km, Stück, Pauschale). Die Position wird normal verrechnet und exportiert, erscheint aber in keiner Stundenauswertung.</w:t>
      </w:r>
    </w:p>
    <w:p>
      <w:pPr>
        <w:spacing w:after="120"/>
      </w:pPr>
      <w:r>
        <w:rPr>
          <w:rFonts w:ascii="IBM Plex Sans" w:cs="IBM Plex Sans" w:eastAsia="IBM Plex Sans" w:hAnsi="IBM Plex Sans"/>
          <w:color w:val="0E0C19"/>
          <w:sz w:val="21"/>
          <w:szCs w:val="21"/>
        </w:rPr>
        <w:t xml:space="preserve">Das Erfassungsformular schaltet automatisch um: Bei einem Mengenartikel verschwinden Von, Bis und der Timer, stattdessen erscheint ein Mengenfeld. Eine Datenbankregel stellt sicher, dass jeder Eintrag genau eine der beiden Grössen trägt.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9.2 Kundenpreise und Rabatte</w:t>
      </w:r>
    </w:p>
    <w:p>
      <w:pPr>
        <w:spacing w:after="120"/>
      </w:pPr>
      <w:r>
        <w:rPr>
          <w:rFonts w:ascii="IBM Plex Sans" w:cs="IBM Plex Sans" w:eastAsia="IBM Plex Sans" w:hAnsi="IBM Plex Sans"/>
          <w:color w:val="0E0C19"/>
          <w:sz w:val="21"/>
          <w:szCs w:val="21"/>
        </w:rPr>
        <w:t xml:space="preserve">Auf der Kundendetailseite gibt es einen eigenen Block „Preise &amp; Rabatte“ mit zwei Listen, sichtbar nur für Admins:</w:t>
      </w:r>
    </w:p>
    <w:p>
      <w:pPr>
        <w:pStyle w:val="ListParagraph"/>
        <w:numPr>
          <w:ilvl w:val="0"/>
          <w:numId w:val="2"/>
        </w:numPr>
        <w:spacing w:after="60"/>
      </w:pPr>
      <w:r>
        <w:rPr>
          <w:rFonts w:ascii="IBM Plex Sans" w:cs="IBM Plex Sans" w:eastAsia="IBM Plex Sans" w:hAnsi="IBM Plex Sans"/>
          <w:b/>
          <w:bCs/>
          <w:color w:val="0E0C19"/>
          <w:sz w:val="21"/>
          <w:szCs w:val="21"/>
        </w:rPr>
        <w:t xml:space="preserve">Abweichende Preise: </w:t>
      </w:r>
      <w:r>
        <w:rPr>
          <w:rFonts w:ascii="IBM Plex Sans" w:cs="IBM Plex Sans" w:eastAsia="IBM Plex Sans" w:hAnsi="IBM Plex Sans"/>
          <w:color w:val="0E0C19"/>
          <w:sz w:val="21"/>
          <w:szCs w:val="21"/>
        </w:rPr>
        <w:t xml:space="preserve">überschreiben den Katalogpreis einer Dienstleistung für diesen Kunden.</w:t>
      </w:r>
    </w:p>
    <w:p>
      <w:pPr>
        <w:pStyle w:val="ListParagraph"/>
        <w:numPr>
          <w:ilvl w:val="0"/>
          <w:numId w:val="2"/>
        </w:numPr>
        <w:spacing w:after="60"/>
      </w:pPr>
      <w:r>
        <w:rPr>
          <w:rFonts w:ascii="IBM Plex Sans" w:cs="IBM Plex Sans" w:eastAsia="IBM Plex Sans" w:hAnsi="IBM Plex Sans"/>
          <w:b/>
          <w:bCs/>
          <w:color w:val="0E0C19"/>
          <w:sz w:val="21"/>
          <w:szCs w:val="21"/>
        </w:rPr>
        <w:t xml:space="preserve">Rabatt je Dienstleistungsklasse: </w:t>
      </w:r>
      <w:r>
        <w:rPr>
          <w:rFonts w:ascii="IBM Plex Sans" w:cs="IBM Plex Sans" w:eastAsia="IBM Plex Sans" w:hAnsi="IBM Plex Sans"/>
          <w:color w:val="0E0C19"/>
          <w:sz w:val="21"/>
          <w:szCs w:val="21"/>
        </w:rPr>
        <w:t xml:space="preserve">gilt für alle Dienstleistungen der Klasse – auch für später neu angelegte. Deutlich pflegeleichter als ein Rabatt pro Dienstleistung.</w:t>
      </w:r>
    </w:p>
    <w:p>
      <w:pPr>
        <w:spacing w:after="120"/>
      </w:pPr>
      <w:r>
        <w:rPr>
          <w:rFonts w:ascii="IBM Plex Sans" w:cs="IBM Plex Sans" w:eastAsia="IBM Plex Sans" w:hAnsi="IBM Plex Sans"/>
          <w:color w:val="0E0C19"/>
          <w:sz w:val="21"/>
          <w:szCs w:val="21"/>
        </w:rPr>
        <w:t xml:space="preserve">Zusätzlich lässt sich in den Stammdaten des Kunden ein Standardrabatt hinterlegen. Welcher Wert beim Erfassen vorgeschlagen wird, entscheidet sich in dieser Reihenfolge: Rabattsperre der Dienstleistung, dann Klassenrabatt, dann Standardrabatt.</w:t>
      </w:r>
    </w:p>
    <w:p>
      <w:pPr>
        <w:spacing w:after="120"/>
      </w:pPr>
      <w:r>
        <w:rPr>
          <w:rFonts w:ascii="IBM Plex Sans" w:cs="IBM Plex Sans" w:eastAsia="IBM Plex Sans" w:hAnsi="IBM Plex Sans"/>
          <w:color w:val="0E0C19"/>
          <w:sz w:val="21"/>
          <w:szCs w:val="21"/>
        </w:rPr>
        <w:t xml:space="preserve">Manche Positionen sollen grundsätzlich rabattfrei bleiben, etwa Reisespesen. Dafür trägt jede Dienstleistung das Kennzeichen „Rabatt zulässig“. Ist es nicht gesetzt, sind Teilrabatte gesperrt; 100 % bleibt möglich, damit die Position weiterhin als nicht verrechnet gebucht werden kann. Die Sperre wird serverseitig geprüft, auch beim Erledigen einer Anfrage.</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9.3 Eingefrorene Werte statt rückwirkender Änderungen</w:t>
      </w:r>
    </w:p>
    <w:p>
      <w:pPr>
        <w:spacing w:after="120"/>
      </w:pPr>
      <w:r>
        <w:rPr>
          <w:rFonts w:ascii="IBM Plex Sans" w:cs="IBM Plex Sans" w:eastAsia="IBM Plex Sans" w:hAnsi="IBM Plex Sans"/>
          <w:color w:val="0E0C19"/>
          <w:sz w:val="21"/>
          <w:szCs w:val="21"/>
        </w:rPr>
        <w:t xml:space="preserve">Der Preis wurde schon immer beim Erfassen eingefroren. Der MWSt-Satz dagegen war nur über die Dienstleistung referenziert: Eine Anpassung in den Stammdaten veränderte rückwirkend auch längst erfasste Einträge und bereits erzeugte Exporte vergangener Perioden – buchhalterisch nicht haltbar.</w:t>
      </w:r>
    </w:p>
    <w:p>
      <w:pPr>
        <w:spacing w:after="120"/>
      </w:pPr>
      <w:r>
        <w:rPr>
          <w:rFonts w:ascii="IBM Plex Sans" w:cs="IBM Plex Sans" w:eastAsia="IBM Plex Sans" w:hAnsi="IBM Plex Sans"/>
          <w:color w:val="0E0C19"/>
          <w:sz w:val="21"/>
          <w:szCs w:val="21"/>
        </w:rPr>
        <w:t xml:space="preserve">Neu speichert jeder Zeiteintrag den beim Erfassen gültigen MWSt-Code samt Satz. Eine Änderung wirkt damit ausschliesslich auf künftige Einträge. Dasselbe Prinzip gilt für Preis, Rabatt und Kundenkonditionen: Stammdaten steuern die Erfassung, nicht die Vergangenheit. Ein einmal erzeugter Export bleibt dadurch reproduzierbar.</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9.4 Kontrolle der Tagesarbeitszeit</w:t>
      </w:r>
    </w:p>
    <w:p>
      <w:pPr>
        <w:spacing w:after="120"/>
      </w:pPr>
      <w:r>
        <w:rPr>
          <w:rFonts w:ascii="IBM Plex Sans" w:cs="IBM Plex Sans" w:eastAsia="IBM Plex Sans" w:hAnsi="IBM Plex Sans"/>
          <w:color w:val="0E0C19"/>
          <w:sz w:val="21"/>
          <w:szCs w:val="21"/>
        </w:rPr>
        <w:t xml:space="preserve">Bisher liessen sich pro Person und Tag beliebig viele – auch zeitlich überschneidende – Stunden erfassen. Für die Fakturierung ist eine Überschneidung gelegentlich gewollt, etwa wenn zwei Kunden gleichzeitig betreut werden. Für Soll-Ist-Auswertungen je Mitarbeitendem machte es die Zahlen jedoch wertlos.</w:t>
      </w:r>
    </w:p>
    <w:p>
      <w:pPr>
        <w:spacing w:after="120"/>
      </w:pPr>
      <w:r>
        <w:rPr>
          <w:rFonts w:ascii="IBM Plex Sans" w:cs="IBM Plex Sans" w:eastAsia="IBM Plex Sans" w:hAnsi="IBM Plex Sans"/>
          <w:color w:val="0E0C19"/>
          <w:sz w:val="21"/>
          <w:szCs w:val="21"/>
        </w:rPr>
        <w:t xml:space="preserve">Zwei Stufen, beide pro Organisation unter Einstellungen konfigurierbar:</w:t>
      </w:r>
    </w:p>
    <w:p>
      <w:pPr>
        <w:pStyle w:val="ListParagraph"/>
        <w:numPr>
          <w:ilvl w:val="0"/>
          <w:numId w:val="2"/>
        </w:numPr>
        <w:spacing w:after="60"/>
      </w:pPr>
      <w:r>
        <w:rPr>
          <w:rFonts w:ascii="IBM Plex Sans" w:cs="IBM Plex Sans" w:eastAsia="IBM Plex Sans" w:hAnsi="IBM Plex Sans"/>
          <w:b/>
          <w:bCs/>
          <w:color w:val="0E0C19"/>
          <w:sz w:val="21"/>
          <w:szCs w:val="21"/>
        </w:rPr>
        <w:t xml:space="preserve">Hinweis beim Erfassen: </w:t>
      </w:r>
      <w:r>
        <w:rPr>
          <w:rFonts w:ascii="IBM Plex Sans" w:cs="IBM Plex Sans" w:eastAsia="IBM Plex Sans" w:hAnsi="IBM Plex Sans"/>
          <w:color w:val="0E0C19"/>
          <w:sz w:val="21"/>
          <w:szCs w:val="21"/>
        </w:rPr>
        <w:t xml:space="preserve">erscheint live im Formular, benennt die konkrete Überschneidung und zeigt die Tagessumme. Speichern bleibt ohne Zusatzklick möglich – gewollte Doppelbelegungen sollen nicht bestraft werden. Standard: ab 10 Stunden.</w:t>
      </w:r>
    </w:p>
    <w:p>
      <w:pPr>
        <w:pStyle w:val="ListParagraph"/>
        <w:numPr>
          <w:ilvl w:val="0"/>
          <w:numId w:val="2"/>
        </w:numPr>
        <w:spacing w:after="60"/>
      </w:pPr>
      <w:r>
        <w:rPr>
          <w:rFonts w:ascii="IBM Plex Sans" w:cs="IBM Plex Sans" w:eastAsia="IBM Plex Sans" w:hAnsi="IBM Plex Sans"/>
          <w:b/>
          <w:bCs/>
          <w:color w:val="0E0C19"/>
          <w:sz w:val="21"/>
          <w:szCs w:val="21"/>
        </w:rPr>
        <w:t xml:space="preserve">Sperre beim Speichern: </w:t>
      </w:r>
      <w:r>
        <w:rPr>
          <w:rFonts w:ascii="IBM Plex Sans" w:cs="IBM Plex Sans" w:eastAsia="IBM Plex Sans" w:hAnsi="IBM Plex Sans"/>
          <w:color w:val="0E0C19"/>
          <w:sz w:val="21"/>
          <w:szCs w:val="21"/>
        </w:rPr>
        <w:t xml:space="preserve">verweigert den Eintrag serverseitig, auch beim Erledigen einer Anfrage. Standard: ab 24 Stunden, was physikalisch unmöglich und praktisch immer ein Tippfehler ist.</w:t>
      </w:r>
    </w:p>
    <w:p>
      <w:pPr>
        <w:spacing w:after="120"/>
      </w:pPr>
      <w:r>
        <w:rPr>
          <w:rFonts w:ascii="IBM Plex Sans" w:cs="IBM Plex Sans" w:eastAsia="IBM Plex Sans" w:hAnsi="IBM Plex Sans"/>
          <w:color w:val="0E0C19"/>
          <w:sz w:val="21"/>
          <w:szCs w:val="21"/>
        </w:rPr>
        <w:t xml:space="preserve">Mengenartikel und laufende Timer zählen dabei nicht mit.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9.5 Frei pflegbare Auswahllisten</w:t>
      </w:r>
    </w:p>
    <w:p>
      <w:pPr>
        <w:spacing w:after="120"/>
      </w:pPr>
      <w:r>
        <w:rPr>
          <w:rFonts w:ascii="IBM Plex Sans" w:cs="IBM Plex Sans" w:eastAsia="IBM Plex Sans" w:hAnsi="IBM Plex Sans"/>
          <w:color w:val="0E0C19"/>
          <w:sz w:val="21"/>
          <w:szCs w:val="21"/>
        </w:rPr>
        <w:t xml:space="preserve">Alle Auswahllisten unter Einstellungen – Dienstleistungsklassen, Einheiten, MWSt-Codes, Rabattsätze, Anfrage-Kanäle, Prioritäten und Dokument-Kategorien – lassen sich neu direkt in der Zeile bearbeiten, nicht mehr nur anlegen und deaktivieren. Auch die Sortierreihenfolge ist einstellbar; neue Einträge werden hinten angehängt.</w:t>
      </w:r>
    </w:p>
    <w:p>
      <w:pPr>
        <w:spacing w:after="120"/>
      </w:pPr>
      <w:r>
        <w:rPr>
          <w:rFonts w:ascii="IBM Plex Sans" w:cs="IBM Plex Sans" w:eastAsia="IBM Plex Sans" w:hAnsi="IBM Plex Sans"/>
          <w:color w:val="0E0C19"/>
          <w:sz w:val="21"/>
          <w:szCs w:val="21"/>
        </w:rPr>
        <w:t xml:space="preserve">Einheiten sind dabei neu hinzugekommen: Bis dahin waren nur Stunde und Pauschale fest im Code hinterlegt. Nicht mehr benötigte Werte werden weiterhin deaktiviert statt gelöscht, damit bestehende Datensätze lesbar bleiben.</w:t>
      </w:r>
    </w:p>
    <w:p>
      <w:pPr>
        <w:pStyle w:val="Heading1"/>
        <w:pageBreakBefore/>
        <w:spacing w:after="200"/>
      </w:pPr>
      <w:r>
        <w:rPr>
          <w:rFonts w:ascii="IBM Plex Sans Condensed" w:cs="IBM Plex Sans Condensed" w:eastAsia="IBM Plex Sans Condensed" w:hAnsi="IBM Plex Sans Condensed"/>
          <w:b/>
          <w:bCs/>
          <w:color w:val="1D3557"/>
          <w:sz w:val="32"/>
          <w:szCs w:val="32"/>
        </w:rPr>
        <w:t xml:space="preserve">10. Arbeitsrapporte, Disposition und Abwesenheiten</w:t>
      </w:r>
    </w:p>
    <w:p>
      <w:pPr>
        <w:spacing w:after="120"/>
      </w:pPr>
      <w:r>
        <w:rPr>
          <w:rFonts w:ascii="IBM Plex Sans" w:cs="IBM Plex Sans" w:eastAsia="IBM Plex Sans" w:hAnsi="IBM Plex Sans"/>
          <w:color w:val="0E0C19"/>
          <w:sz w:val="21"/>
          <w:szCs w:val="21"/>
        </w:rPr>
        <w:t xml:space="preserve">Mit der Testphase kam ein Bedarf dazu, den die reine Zeiterfassung nicht abdeckt: Ein Servicemonteur arbeitet beim Kunden vor Ort, erbringt dort mehrere Leistungen und braucht dafür einen zusammenhängenden Nachweis. Daraus sind der Arbeitsrapport und – darauf aufbauend – die Disposition entstanden.</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10.1 Der Arbeitsrapport als Leistungsnachweis</w:t>
      </w:r>
    </w:p>
    <w:p>
      <w:pPr>
        <w:spacing w:after="120"/>
      </w:pPr>
      <w:r>
        <w:rPr>
          <w:rFonts w:ascii="IBM Plex Sans" w:cs="IBM Plex Sans" w:eastAsia="IBM Plex Sans" w:hAnsi="IBM Plex Sans"/>
          <w:color w:val="0E0C19"/>
          <w:sz w:val="21"/>
          <w:szCs w:val="21"/>
        </w:rPr>
        <w:t xml:space="preserve">Ein Rapport ist die Klammer um mehrere Zeiteinträge desselben Einsatzes. Er hat einen Kopf (Kunde, Projekt, Mitarbeitende Person, Datum, Bemerkung) und beliebig viele Positionen. Jede Position ist ein ganz normaler Zeiteintrag: sie wird verrechnet, exportiert und erscheint in den Auswertungen wie jeder andere Eintrag. Der Rapport erzeugt also keine Parallelwelt, sondern nur eine zusätzliche Sicht auf bestehende Daten.</w:t>
      </w:r>
    </w:p>
    <w:p>
      <w:pPr>
        <w:spacing w:after="120"/>
      </w:pPr>
      <w:r>
        <w:rPr>
          <w:rFonts w:ascii="IBM Plex Sans" w:cs="IBM Plex Sans" w:eastAsia="IBM Plex Sans" w:hAnsi="IBM Plex Sans"/>
          <w:color w:val="0E0C19"/>
          <w:sz w:val="21"/>
          <w:szCs w:val="21"/>
        </w:rPr>
        <w:t xml:space="preserve">Rapporte sind bewusst optional. Fernwartung, Büroarbeit oder eine telefonisch erledigte Anfrage werden weiterhin direkt in der Zeiterfassung erfasst.</w:t>
      </w:r>
    </w:p>
    <w:p>
      <w:pPr>
        <w:spacing w:after="120"/>
      </w:pPr>
      <w:r>
        <w:rPr>
          <w:rFonts w:ascii="IBM Plex Sans" w:cs="IBM Plex Sans" w:eastAsia="IBM Plex Sans" w:hAnsi="IBM Plex Sans"/>
          <w:color w:val="0E0C19"/>
          <w:sz w:val="21"/>
          <w:szCs w:val="21"/>
        </w:rPr>
        <w:t xml:space="preserve">Eine gestalterische Entscheidung mit Konsequenzen: Auf dem Rapport stehen keine Preise. Er ist ein Leistungsnachweis, keine Rechnung. Im B2B-Umfeld unterschreibt vor Ort in aller Regel eine Person ohne Zahlungskompetenz – eine Unterschrift unter einen Betrag hätte dort eine Verbindlichkeit suggeriert, die sie nicht hat. Verrechnet wird über den bestehenden Export.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10.2 Nummernkreis und Statuslogik</w:t>
      </w:r>
    </w:p>
    <w:p>
      <w:pPr>
        <w:spacing w:after="120"/>
      </w:pPr>
      <w:r>
        <w:rPr>
          <w:rFonts w:ascii="IBM Plex Sans" w:cs="IBM Plex Sans" w:eastAsia="IBM Plex Sans" w:hAnsi="IBM Plex Sans"/>
          <w:color w:val="0E0C19"/>
          <w:sz w:val="21"/>
          <w:szCs w:val="21"/>
        </w:rPr>
        <w:t xml:space="preserve">Rapportnummern laufen je Organisation und Jahr im Format 2026-0001. Der Zähler liegt in einer eigenen Tabelle und wird beim Anlegen atomar hochgezählt, damit zwei gleichzeitig erstellte Rapporte nie dieselbe Nummer erhalten.</w:t>
      </w:r>
    </w:p>
    <w:p>
      <w:pPr>
        <w:spacing w:after="120"/>
      </w:pPr>
      <w:r>
        <w:rPr>
          <w:rFonts w:ascii="IBM Plex Sans" w:cs="IBM Plex Sans" w:eastAsia="IBM Plex Sans" w:hAnsi="IBM Plex Sans"/>
          <w:color w:val="0E0C19"/>
          <w:sz w:val="21"/>
          <w:szCs w:val="21"/>
        </w:rPr>
        <w:t xml:space="preserve">Ein Rapport ist entweder offen oder abgeschlossen. Solange er offen ist, lassen sich Kopf und Positionen ändern; ein Datenbank-Trigger sperrt beides, sobald er abgeschlossen ist – nicht nur die Oberfläche, sondern die Datenbank selbst. Wird ein offener Rapport gelöscht, bleiben seine Positionen als eigenständige Zeiteinträge bestehen und weiterhin verrechenbar; es verschwindet nur das Dokument darüber.</w:t>
      </w:r>
    </w:p>
    <w:p>
      <w:pPr>
        <w:spacing w:after="120"/>
      </w:pPr>
      <w:r>
        <w:rPr>
          <w:rFonts w:ascii="IBM Plex Sans" w:cs="IBM Plex Sans" w:eastAsia="IBM Plex Sans" w:hAnsi="IBM Plex Sans"/>
          <w:color w:val="0E0C19"/>
          <w:sz w:val="21"/>
          <w:szCs w:val="21"/>
        </w:rPr>
        <w:t xml:space="preserve">Ein Abschluss ohne Unterschrift ist möglich, verlangt aber eine Begründung. Der häufigste Praxisfall – niemand Unterschriftsberechtigtes mehr vor Ort – darf nicht dazu führen, dass der Rapport tagelang offen bleibt.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10.3 Arbeitstag, Schliesstage und Abwesenheiten</w:t>
      </w:r>
    </w:p>
    <w:p>
      <w:pPr>
        <w:spacing w:after="120"/>
      </w:pPr>
      <w:r>
        <w:rPr>
          <w:rFonts w:ascii="IBM Plex Sans" w:cs="IBM Plex Sans" w:eastAsia="IBM Plex Sans" w:hAnsi="IBM Plex Sans"/>
          <w:color w:val="0E0C19"/>
          <w:sz w:val="21"/>
          <w:szCs w:val="21"/>
        </w:rPr>
        <w:t xml:space="preserve">Damit sich Einsätze überhaupt sinnvoll planen lassen, braucht die Anwendung ein Bild davon, wann gearbeitet wird. Drei neue Stammdaten liefern es:</w:t>
      </w:r>
    </w:p>
    <w:p>
      <w:pPr>
        <w:pStyle w:val="ListParagraph"/>
        <w:numPr>
          <w:ilvl w:val="0"/>
          <w:numId w:val="2"/>
        </w:numPr>
        <w:spacing w:after="60"/>
      </w:pPr>
      <w:r>
        <w:rPr>
          <w:rFonts w:ascii="IBM Plex Sans" w:cs="IBM Plex Sans" w:eastAsia="IBM Plex Sans" w:hAnsi="IBM Plex Sans"/>
          <w:b/>
          <w:bCs/>
          <w:color w:val="0E0C19"/>
          <w:sz w:val="21"/>
          <w:szCs w:val="21"/>
        </w:rPr>
        <w:t xml:space="preserve">Arbeitstag: </w:t>
      </w:r>
      <w:r>
        <w:rPr>
          <w:rFonts w:ascii="IBM Plex Sans" w:cs="IBM Plex Sans" w:eastAsia="IBM Plex Sans" w:hAnsi="IBM Plex Sans"/>
          <w:color w:val="333333"/>
          <w:sz w:val="21"/>
          <w:szCs w:val="21"/>
        </w:rPr>
        <w:t xml:space="preserve">ein Von-Bis-Rahmen je Organisation (Standard 07:00–18:00). Er begrenzt nur die Vorschläge der Disposition; ausserhalb bleibt alles von Hand planbar.</w:t>
      </w:r>
    </w:p>
    <w:p>
      <w:pPr>
        <w:pStyle w:val="ListParagraph"/>
        <w:numPr>
          <w:ilvl w:val="0"/>
          <w:numId w:val="2"/>
        </w:numPr>
        <w:spacing w:after="60"/>
      </w:pPr>
      <w:r>
        <w:rPr>
          <w:rFonts w:ascii="IBM Plex Sans" w:cs="IBM Plex Sans" w:eastAsia="IBM Plex Sans" w:hAnsi="IBM Plex Sans"/>
          <w:b/>
          <w:bCs/>
          <w:color w:val="0E0C19"/>
          <w:sz w:val="21"/>
          <w:szCs w:val="21"/>
        </w:rPr>
        <w:t xml:space="preserve">Schliesstage: </w:t>
      </w:r>
      <w:r>
        <w:rPr>
          <w:rFonts w:ascii="IBM Plex Sans" w:cs="IBM Plex Sans" w:eastAsia="IBM Plex Sans" w:hAnsi="IBM Plex Sans"/>
          <w:color w:val="333333"/>
          <w:sz w:val="21"/>
          <w:szCs w:val="21"/>
        </w:rPr>
        <w:t xml:space="preserve">Feiertage und Betriebsferien als Datumsbereich mit Bezeichnung. Sie gelten für die ganze Organisation und sperren die Planung, nicht aber die Zeiterfassung – wer am Feiertag arbeitet, erfasst seine Zeit normal.</w:t>
      </w:r>
    </w:p>
    <w:p>
      <w:pPr>
        <w:pStyle w:val="ListParagraph"/>
        <w:numPr>
          <w:ilvl w:val="0"/>
          <w:numId w:val="2"/>
        </w:numPr>
        <w:spacing w:after="60"/>
      </w:pPr>
      <w:r>
        <w:rPr>
          <w:rFonts w:ascii="IBM Plex Sans" w:cs="IBM Plex Sans" w:eastAsia="IBM Plex Sans" w:hAnsi="IBM Plex Sans"/>
          <w:b/>
          <w:bCs/>
          <w:color w:val="0E0C19"/>
          <w:sz w:val="21"/>
          <w:szCs w:val="21"/>
        </w:rPr>
        <w:t xml:space="preserve">Abwesenheiten: </w:t>
      </w:r>
      <w:r>
        <w:rPr>
          <w:rFonts w:ascii="IBM Plex Sans" w:cs="IBM Plex Sans" w:eastAsia="IBM Plex Sans" w:hAnsi="IBM Plex Sans"/>
          <w:color w:val="333333"/>
          <w:sz w:val="21"/>
          <w:szCs w:val="21"/>
        </w:rPr>
        <w:t xml:space="preserve">Ferien, Krankheit, Militär und weitere frei definierbare Arten, je Person als Datumsbereich mit optionaler Zeitangabe für halbe Tage.</w:t>
      </w:r>
    </w:p>
    <w:p>
      <w:pPr>
        <w:spacing w:after="120"/>
      </w:pPr>
      <w:r>
        <w:rPr>
          <w:rFonts w:ascii="IBM Plex Sans" w:cs="IBM Plex Sans" w:eastAsia="IBM Plex Sans" w:hAnsi="IBM Plex Sans"/>
          <w:color w:val="0E0C19"/>
          <w:sz w:val="21"/>
          <w:szCs w:val="21"/>
        </w:rPr>
        <w:t xml:space="preserve">Die Abwesenheitsarten sind konfigurierbar und tragen ein Merkmal „blockiert die Planung“. Nur damit fällt der Zeitraum aus den freien Zeiten heraus. Arten ohne dieses Merkmal – etwa Homeoffice – sind reine Information, die Person bleibt einplanbar. Erfasst werden Abwesenheiten von Admins, gelesen von allen: die Disposition braucht diese Information organisationsweit.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10.4 Disposition als kostenpflichtiges Zusatzmodul</w:t>
      </w:r>
    </w:p>
    <w:p>
      <w:pPr>
        <w:spacing w:after="120"/>
      </w:pPr>
      <w:r>
        <w:rPr>
          <w:rFonts w:ascii="IBM Plex Sans" w:cs="IBM Plex Sans" w:eastAsia="IBM Plex Sans" w:hAnsi="IBM Plex Sans"/>
          <w:color w:val="0E0C19"/>
          <w:sz w:val="21"/>
          <w:szCs w:val="21"/>
        </w:rPr>
        <w:t xml:space="preserve">Die Disposition ist der erste Funktionsbereich, der nicht im Grundpreis enthalten ist. Jede Organisation trägt ein Merkmal, ob das Modul gebucht ist; ist es nicht gesetzt, erscheint der Menüpunkt nicht und der direkte Aufruf der Seite führt zurück auf die Startseite. Die Prüfung liegt zusätzlich in der Datenbank, nicht nur in der Oberfläche.</w:t>
      </w:r>
    </w:p>
    <w:p>
      <w:pPr>
        <w:spacing w:after="120"/>
      </w:pPr>
      <w:r>
        <w:rPr>
          <w:rFonts w:ascii="IBM Plex Sans" w:cs="IBM Plex Sans" w:eastAsia="IBM Plex Sans" w:hAnsi="IBM Plex Sans"/>
          <w:color w:val="0E0C19"/>
          <w:sz w:val="21"/>
          <w:szCs w:val="21"/>
        </w:rPr>
        <w:t xml:space="preserve">Fachlich arbeitet die Disposition mit drei Planfeldern am Rapport: geplant für, geplant von und geplant bis. Sie beschreiben die Absicht, die Positionen die tatsächliche Leistung. Beides darf auseinanderlaufen, ohne dass etwas nachkorrigiert werden müsste – genau darin liegt der Nutzen für die spätere Auswertung.</w:t>
      </w:r>
    </w:p>
    <w:p>
      <w:pPr>
        <w:spacing w:after="120"/>
      </w:pPr>
      <w:r>
        <w:rPr>
          <w:rFonts w:ascii="IBM Plex Sans" w:cs="IBM Plex Sans" w:eastAsia="IBM Plex Sans" w:hAnsi="IBM Plex Sans"/>
          <w:color w:val="0E0C19"/>
          <w:sz w:val="21"/>
          <w:szCs w:val="21"/>
        </w:rPr>
        <w:t xml:space="preserve">Die Übersicht zeigt die Einsätze als Tag, Woche oder Monat, wahlweise auf eine Person gefiltert. Überschneidungen derselben Person werden als „Doppelt belegt“ markiert, aber nicht verhindert: Eine Übergabe oder ein kurzer Zwischenhalt sind legitime Überschneidungen, und die Planung soll nicht daran scheitern.</w:t>
      </w:r>
    </w:p>
    <w:p>
      <w:pPr>
        <w:spacing w:after="120"/>
      </w:pPr>
      <w:r>
        <w:rPr>
          <w:rFonts w:ascii="IBM Plex Sans" w:cs="IBM Plex Sans" w:eastAsia="IBM Plex Sans" w:hAnsi="IBM Plex Sans"/>
          <w:color w:val="0E0C19"/>
          <w:sz w:val="21"/>
          <w:szCs w:val="21"/>
        </w:rPr>
        <w:t xml:space="preserve">Beim Erfassen eines Rapports blendet ein Tagesplan neben dem Formular ein, was für die gewählte Person an diesem Tag belegt und was noch frei ist, mit Blätterfunktion über die Tage. Gesperrte Tage nennen ihren Grund („Betriebsferien“, „Ferien“), statt einfach keine Vorschläge zu liefern. Ein Klick auf eine freie Zeit übernimmt sie in die Planfelder.</w:t>
      </w:r>
    </w:p>
    <w:p>
      <w:pPr>
        <w:spacing w:after="120"/>
      </w:pPr>
      <w:r>
        <w:rPr>
          <w:rFonts w:ascii="IBM Plex Sans" w:cs="IBM Plex Sans" w:eastAsia="IBM Plex Sans" w:hAnsi="IBM Plex Sans"/>
          <w:color w:val="0E0C19"/>
          <w:sz w:val="21"/>
          <w:szCs w:val="21"/>
        </w:rPr>
        <w:t xml:space="preserve">Die Abrechnung des Moduls über Stripe folgt später; vorerst schaltet Arcos es je Organisation frei. Vorgesehen ist ein organisationsweiter Pauschalbetrag, nicht ein Preis pro Lizenz.</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10.5 Durchgängige Bedienregeln</w:t>
      </w:r>
    </w:p>
    <w:p>
      <w:pPr>
        <w:spacing w:after="120"/>
      </w:pPr>
      <w:r>
        <w:rPr>
          <w:rFonts w:ascii="IBM Plex Sans" w:cs="IBM Plex Sans" w:eastAsia="IBM Plex Sans" w:hAnsi="IBM Plex Sans"/>
          <w:color w:val="0E0C19"/>
          <w:sz w:val="21"/>
          <w:szCs w:val="21"/>
        </w:rPr>
        <w:t xml:space="preserve">Drei Eigenheiten der Testphase haben zu Regeln geführt, die inzwischen für die ganze Anwendung gelten und bei jeder neuen Funktion einzuhalten sind.</w:t>
      </w:r>
    </w:p>
    <w:p>
      <w:pPr>
        <w:pStyle w:val="ListParagraph"/>
        <w:numPr>
          <w:ilvl w:val="0"/>
          <w:numId w:val="2"/>
        </w:numPr>
        <w:spacing w:after="60"/>
      </w:pPr>
      <w:r>
        <w:rPr>
          <w:rFonts w:ascii="IBM Plex Sans" w:cs="IBM Plex Sans" w:eastAsia="IBM Plex Sans" w:hAnsi="IBM Plex Sans"/>
          <w:b/>
          <w:bCs/>
          <w:color w:val="0E0C19"/>
          <w:sz w:val="21"/>
          <w:szCs w:val="21"/>
        </w:rPr>
        <w:t xml:space="preserve">Fokus nach dem Speichern: </w:t>
      </w:r>
      <w:r>
        <w:rPr>
          <w:rFonts w:ascii="IBM Plex Sans" w:cs="IBM Plex Sans" w:eastAsia="IBM Plex Sans" w:hAnsi="IBM Plex Sans"/>
          <w:color w:val="333333"/>
          <w:sz w:val="21"/>
          <w:szCs w:val="21"/>
        </w:rPr>
        <w:t xml:space="preserve">Wer mehrere Einträge hintereinander erfasst, darf nicht nach jedem Eintrag scrollen müssen. Die Seite springt zurück zum leeren Formular und setzt den Cursor ins erste Feld. Technisch über einen Parameter an der Weiterleitungs-Adresse und eine einzige Komponente im Layout gelöst – ohne Zusatzcode je Formular.</w:t>
      </w:r>
    </w:p>
    <w:p>
      <w:pPr>
        <w:pStyle w:val="ListParagraph"/>
        <w:numPr>
          <w:ilvl w:val="0"/>
          <w:numId w:val="2"/>
        </w:numPr>
        <w:spacing w:after="60"/>
      </w:pPr>
      <w:r>
        <w:rPr>
          <w:rFonts w:ascii="IBM Plex Sans" w:cs="IBM Plex Sans" w:eastAsia="IBM Plex Sans" w:hAnsi="IBM Plex Sans"/>
          <w:b/>
          <w:bCs/>
          <w:color w:val="0E0C19"/>
          <w:sz w:val="21"/>
          <w:szCs w:val="21"/>
        </w:rPr>
        <w:t xml:space="preserve">Zeitfelder: </w:t>
      </w:r>
      <w:r>
        <w:rPr>
          <w:rFonts w:ascii="IBM Plex Sans" w:cs="IBM Plex Sans" w:eastAsia="IBM Plex Sans" w:hAnsi="IBM Plex Sans"/>
          <w:color w:val="333333"/>
          <w:sz w:val="21"/>
          <w:szCs w:val="21"/>
        </w:rPr>
        <w:t xml:space="preserve">Statt des nativen Zeitfelds, das in Safari Teileingaben verwirft, gibt es ein eigenes Textfeld. Es nimmt 1030, 10.30 oder 10:30 entgegen und normalisiert erst beim Verlassen des Felds.</w:t>
      </w:r>
    </w:p>
    <w:p>
      <w:pPr>
        <w:pStyle w:val="ListParagraph"/>
        <w:numPr>
          <w:ilvl w:val="0"/>
          <w:numId w:val="2"/>
        </w:numPr>
        <w:spacing w:after="60"/>
      </w:pPr>
      <w:r>
        <w:rPr>
          <w:rFonts w:ascii="IBM Plex Sans" w:cs="IBM Plex Sans" w:eastAsia="IBM Plex Sans" w:hAnsi="IBM Plex Sans"/>
          <w:b/>
          <w:bCs/>
          <w:color w:val="0E0C19"/>
          <w:sz w:val="21"/>
          <w:szCs w:val="21"/>
        </w:rPr>
        <w:t xml:space="preserve">Datumsfelder: </w:t>
      </w:r>
      <w:r>
        <w:rPr>
          <w:rFonts w:ascii="IBM Plex Sans" w:cs="IBM Plex Sans" w:eastAsia="IBM Plex Sans" w:hAnsi="IBM Plex Sans"/>
          <w:color w:val="333333"/>
          <w:sz w:val="21"/>
          <w:szCs w:val="21"/>
        </w:rPr>
        <w:t xml:space="preserve">Alle Datumsfelder schliessen ihren Kalender nach der Auswahl selbst. Safari liess ihn sonst offen, bis man daneben klickte.</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10.6 Rollen: was Mitarbeitende dürfen</w:t>
      </w:r>
    </w:p>
    <w:p>
      <w:pPr>
        <w:spacing w:after="120"/>
      </w:pPr>
      <w:r>
        <w:rPr>
          <w:rFonts w:ascii="IBM Plex Sans" w:cs="IBM Plex Sans" w:eastAsia="IBM Plex Sans" w:hAnsi="IBM Plex Sans"/>
          <w:color w:val="0E0C19"/>
          <w:sz w:val="21"/>
          <w:szCs w:val="21"/>
        </w:rPr>
        <w:t xml:space="preserve">Die Testphase hat eine Lücke aufgedeckt, die seit der ersten Migration bestand und nur deshalb nie auffiel, weil bis dahin ausschliesslich Admin-Konten im Einsatz waren: Das Schreiben auf Kunden, Projekte und Dienstleistungen war per Row Level Security auf Admins beschränkt, während die Oberfläche den Weg allen anbot – einschliesslich der beworbenen Schnellerfassung „+ Neuer Kunde“, die mitten im Zeiterfassungs- und Anfrageformular sitzt. Ein Mitarbeitender bekam beim Anlegen eines Kunden nur eine technische Meldung über eine verletzte Sicherheitsregel.</w:t>
      </w:r>
    </w:p>
    <w:p>
      <w:pPr>
        <w:spacing w:after="120"/>
      </w:pPr>
      <w:r>
        <w:rPr>
          <w:rFonts w:ascii="IBM Plex Sans" w:cs="IBM Plex Sans" w:eastAsia="IBM Plex Sans" w:hAnsi="IBM Plex Sans"/>
          <w:color w:val="0E0C19"/>
          <w:sz w:val="21"/>
          <w:szCs w:val="21"/>
        </w:rPr>
        <w:t xml:space="preserve">Die Regel dahinter ist jetzt festgeschrieben und gilt für jede künftige Funktion:</w:t>
      </w:r>
    </w:p>
    <w:p>
      <w:pPr>
        <w:pStyle w:val="ListParagraph"/>
        <w:numPr>
          <w:ilvl w:val="0"/>
          <w:numId w:val="2"/>
        </w:numPr>
        <w:spacing w:after="60"/>
      </w:pPr>
      <w:r>
        <w:rPr>
          <w:rFonts w:ascii="IBM Plex Sans" w:cs="IBM Plex Sans" w:eastAsia="IBM Plex Sans" w:hAnsi="IBM Plex Sans"/>
          <w:b/>
          <w:bCs/>
          <w:color w:val="0E0C19"/>
          <w:sz w:val="21"/>
          <w:szCs w:val="21"/>
        </w:rPr>
        <w:t xml:space="preserve">Erfassen und Bearbeiten: </w:t>
      </w:r>
      <w:r>
        <w:rPr>
          <w:rFonts w:ascii="IBM Plex Sans" w:cs="IBM Plex Sans" w:eastAsia="IBM Plex Sans" w:hAnsi="IBM Plex Sans"/>
          <w:color w:val="333333"/>
          <w:sz w:val="21"/>
          <w:szCs w:val="21"/>
        </w:rPr>
        <w:t xml:space="preserve">Mitarbeitende dürfen alles, was ihnen die Anwendung zeigt. Ist etwas sichtbar, muss es auch schreibbar sein.</w:t>
      </w:r>
    </w:p>
    <w:p>
      <w:pPr>
        <w:pStyle w:val="ListParagraph"/>
        <w:numPr>
          <w:ilvl w:val="0"/>
          <w:numId w:val="2"/>
        </w:numPr>
        <w:spacing w:after="60"/>
      </w:pPr>
      <w:r>
        <w:rPr>
          <w:rFonts w:ascii="IBM Plex Sans" w:cs="IBM Plex Sans" w:eastAsia="IBM Plex Sans" w:hAnsi="IBM Plex Sans"/>
          <w:b/>
          <w:bCs/>
          <w:color w:val="0E0C19"/>
          <w:sz w:val="21"/>
          <w:szCs w:val="21"/>
        </w:rPr>
        <w:t xml:space="preserve">Löschen: </w:t>
      </w:r>
      <w:r>
        <w:rPr>
          <w:rFonts w:ascii="IBM Plex Sans" w:cs="IBM Plex Sans" w:eastAsia="IBM Plex Sans" w:hAnsi="IBM Plex Sans"/>
          <w:color w:val="333333"/>
          <w:sz w:val="21"/>
          <w:szCs w:val="21"/>
        </w:rPr>
        <w:t xml:space="preserve">Kunden, Projekte, Dienstleistungen und bereits exportierte Zeiteinträge nur als Admin. Diese Datensätze hängen an bestehenden Zeiteinträgen und Rapporten – ein Löschen wirkt rückwärts und ist nicht zurückzuholen.</w:t>
      </w:r>
    </w:p>
    <w:p>
      <w:pPr>
        <w:pStyle w:val="ListParagraph"/>
        <w:numPr>
          <w:ilvl w:val="0"/>
          <w:numId w:val="2"/>
        </w:numPr>
        <w:spacing w:after="60"/>
      </w:pPr>
      <w:r>
        <w:rPr>
          <w:rFonts w:ascii="IBM Plex Sans" w:cs="IBM Plex Sans" w:eastAsia="IBM Plex Sans" w:hAnsi="IBM Plex Sans"/>
          <w:b/>
          <w:bCs/>
          <w:color w:val="0E0C19"/>
          <w:sz w:val="21"/>
          <w:szCs w:val="21"/>
        </w:rPr>
        <w:t xml:space="preserve">Umgekehrt: </w:t>
      </w:r>
      <w:r>
        <w:rPr>
          <w:rFonts w:ascii="IBM Plex Sans" w:cs="IBM Plex Sans" w:eastAsia="IBM Plex Sans" w:hAnsi="IBM Plex Sans"/>
          <w:color w:val="333333"/>
          <w:sz w:val="21"/>
          <w:szCs w:val="21"/>
        </w:rPr>
        <w:t xml:space="preserve">Was nur Admins sehen – Einstellungen, Mitarbeitende und Export – bleibt auch in der Datenbank admin-only. Preise und Rabatte auf der Kundenseite waren zunächst ebenfalls dort eingeordnet, sind auf Wunsch aber für alle geöffnet: Sie steuern nur die Erfassung und wirken nie rückwärts.</w:t>
      </w:r>
    </w:p>
    <w:p>
      <w:pPr>
        <w:spacing w:after="120"/>
      </w:pPr>
      <w:r>
        <w:rPr>
          <w:rFonts w:ascii="IBM Plex Sans" w:cs="IBM Plex Sans" w:eastAsia="IBM Plex Sans" w:hAnsi="IBM Plex Sans"/>
          <w:color w:val="0E0C19"/>
          <w:sz w:val="21"/>
          <w:szCs w:val="21"/>
        </w:rPr>
        <w:t xml:space="preserve">Die Prüfung liegt dabei nicht in der Oberfläche, sondern in der Datenbank. Löschknöpfe verschwinden für Mitarbeitende zusätzlich aus der Ansicht, damit niemand erst nach dem Klick erfährt, dass es nicht geht.</w:t>
      </w:r>
    </w:p>
    <w:p>
      <w:pPr>
        <w:spacing w:after="120"/>
      </w:pPr>
      <w:r>
        <w:rPr>
          <w:rFonts w:ascii="IBM Plex Sans" w:cs="IBM Plex Sans" w:eastAsia="IBM Plex Sans" w:hAnsi="IBM Plex Sans"/>
          <w:color w:val="0E0C19"/>
          <w:sz w:val="21"/>
          <w:szCs w:val="21"/>
        </w:rPr>
        <w:t xml:space="preserve">Zwei Nebenbefunde wurden gleich mit erledigt. Die drei Funktionen, auf denen jede Sicherheitsregel steht, hatten kein festes search_path – dieselbe Konstellation, die in der Testphase die Registrierung lahmgelegt hatte; sie sind jetzt gehärtet. Und die Löschaktionen werteten ihr Ergebnis überhaupt nicht aus: Ein durch einen Fremdschlüssel verhindertes Löschen wurde als „gelöscht“ gemeldet, obwohl nichts geschah. Beide Fälle nennen jetzt den Grund im Klartext.</w:t>
      </w:r>
    </w:p>
    <w:p>
      <w:pPr>
        <w:spacing w:after="120"/>
      </w:pPr>
      <w:r>
        <w:rPr>
          <w:rFonts w:ascii="IBM Plex Sans" w:cs="IBM Plex Sans" w:eastAsia="IBM Plex Sans" w:hAnsi="IBM Plex Sans"/>
          <w:color w:val="0E0C19"/>
          <w:sz w:val="21"/>
          <w:szCs w:val="21"/>
        </w:rPr>
        <w:t xml:space="preserve">Mittelfristig soll an die Stelle dieser festen Regel ein Berechtigungssystem treten, das der Admin unter Einstellungen selbst konfiguriert.</w:t>
      </w:r>
    </w:p>
    <w:p>
      <w:pPr>
        <w:pStyle w:val="Heading2"/>
        <w:spacing w:after="140" w:before="280"/>
      </w:pPr>
      <w:r>
        <w:rPr>
          <w:rFonts w:ascii="IBM Plex Sans Condensed" w:cs="IBM Plex Sans Condensed" w:eastAsia="IBM Plex Sans Condensed" w:hAnsi="IBM Plex Sans Condensed"/>
          <w:b/>
          <w:bCs/>
          <w:color w:val="457B9D"/>
          <w:sz w:val="24"/>
          <w:szCs w:val="24"/>
        </w:rPr>
        <w:t xml:space="preserve">10.7 Strukturierte Adresse</w:t>
      </w:r>
    </w:p>
    <w:p>
      <w:pPr>
        <w:spacing w:after="120"/>
      </w:pPr>
      <w:r>
        <w:rPr>
          <w:rFonts w:ascii="IBM Plex Sans" w:cs="IBM Plex Sans" w:eastAsia="IBM Plex Sans" w:hAnsi="IBM Plex Sans"/>
          <w:color w:val="0E0C19"/>
          <w:sz w:val="21"/>
          <w:szCs w:val="21"/>
        </w:rPr>
        <w:t xml:space="preserve">Die Strassenangabe eines Kunden stand bisher in einem einzigen Feld. Getrennte Felder für Strasse und Hausnummer halten die Adresse auswertbar und sortierbar und entsprechen dem, was Adressdienste und Buchhaltungen erwarten. Postleitzahl und Ort waren von Anfang an getrennt.</w:t>
      </w:r>
    </w:p>
    <w:p>
      <w:pPr>
        <w:spacing w:after="120"/>
      </w:pPr>
      <w:r>
        <w:rPr>
          <w:rFonts w:ascii="IBM Plex Sans" w:cs="IBM Plex Sans" w:eastAsia="IBM Plex Sans" w:hAnsi="IBM Plex Sans"/>
          <w:color w:val="0E0C19"/>
          <w:sz w:val="21"/>
          <w:szCs w:val="21"/>
        </w:rPr>
        <w:t xml:space="preserve">Bestehende Adressen wurden bei der Umstellung automatisch aufgeteilt. Als Hausnummer gilt der hintere Teil, wenn er mit einer Ziffer beginnt – damit werden „Bahnhofstrasse 12“, „Bahnhofstrasse 12a“, „Bahnhofstrasse 12-14“ und „Route de Berne 4bis“ richtig getrennt, während „Im Winkel“ vollständig im Strassenfeld bleibt. Eine Hausnummer vor dem Strassennamen wird bewusst nicht angetastet: Diese Schreibweise ist in der Schweiz unüblich, und ein falsch geratener Wert wäre schlimmer als ein unveränderter.</w:t>
      </w:r>
    </w:p>
    <w:p>
      <w:pPr>
        <w:spacing w:after="120"/>
      </w:pPr>
      <w:r>
        <w:rPr>
          <w:rFonts w:ascii="IBM Plex Sans" w:cs="IBM Plex Sans" w:eastAsia="IBM Plex Sans" w:hAnsi="IBM Plex Sans"/>
          <w:color w:val="0E0C19"/>
          <w:sz w:val="21"/>
          <w:szCs w:val="21"/>
        </w:rPr>
        <w:t xml:space="preserve">Im Excel-Export bleibt es bei einer einzigen Spalte „Strasse“, in der beides wieder zusammengesetzt erscheint. Das Comatic-Format ist fest vorgegeben; eine zusätzliche Spalte würde den Import brechen. Zusammengesetzt wird das in der Datenbank-View, der Export-Code selbst kennt den Unterschied gar nicht.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5e9d71bb7afc3f7824f729e2851a0e71719796.png"/><Relationship Id="rId8" Type="http://schemas.openxmlformats.org/officeDocument/2006/relationships/image" Target="media/e0509aa50f9908dfdc53b6db2cac4721d58210f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ArcoTime – Projektdokumentation</dc:title>
  <dc:creator>Arcos Group</dc:creator>
  <cp:lastModifiedBy>Un-named</cp:lastModifiedBy>
  <cp:revision>1</cp:revision>
  <dcterms:created xsi:type="dcterms:W3CDTF">2026-08-11T21:12:02.544Z</dcterms:created>
  <dcterms:modified xsi:type="dcterms:W3CDTF">2026-08-11T21:12:02.545Z</dcterms:modified>
</cp:coreProperties>
</file>

<file path=docProps/custom.xml><?xml version="1.0" encoding="utf-8"?>
<Properties xmlns="http://schemas.openxmlformats.org/officeDocument/2006/custom-properties" xmlns:vt="http://schemas.openxmlformats.org/officeDocument/2006/docPropsVTypes"/>
</file>