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239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IBM Plex Sans Condensed" w:cs="IBM Plex Sans Condensed" w:eastAsia="IBM Plex Sans Condensed" w:hAnsi="IBM Plex Sans Condensed"/>
          <w:b/>
          <w:bCs/>
          <w:color w:val="1D3557"/>
          <w:sz w:val="56"/>
          <w:szCs w:val="56"/>
        </w:rPr>
        <w:t xml:space="preserve">ArcoTime</w:t>
      </w:r>
    </w:p>
    <w:p>
      <w:pPr>
        <w:spacing w:after="60" w:before="40"/>
        <w:jc w:val="center"/>
      </w:pPr>
      <w:r>
        <w:rPr>
          <w:rFonts w:ascii="IBM Plex Sans" w:cs="IBM Plex Sans" w:eastAsia="IBM Plex Sans" w:hAnsi="IBM Plex Sans"/>
          <w:i/>
          <w:iCs/>
          <w:color w:val="457B9D"/>
          <w:sz w:val="22"/>
          <w:szCs w:val="22"/>
        </w:rPr>
        <w:t xml:space="preserve">Smart planen. Besser arbeiten.</w:t>
      </w:r>
    </w:p>
    <w:p>
      <w:pPr>
        <w:pBdr>
          <w:bottom w:val="single" w:color="457B9D" w:sz="6" w:space="8"/>
        </w:pBdr>
        <w:spacing w:after="220"/>
        <w:jc w:val="center"/>
      </w:pPr>
    </w:p>
    <w:p>
      <w:pPr>
        <w:spacing w:after="260"/>
        <w:jc w:val="center"/>
      </w:pPr>
      <w:r>
        <w:rPr>
          <w:rFonts w:ascii="IBM Plex Sans" w:cs="IBM Plex Sans" w:eastAsia="IBM Plex Sans" w:hAnsi="IBM Plex Sans"/>
          <w:color w:val="0E0C19"/>
          <w:sz w:val="21"/>
          <w:szCs w:val="21"/>
        </w:rPr>
        <w:t xml:space="preserve">Zeiterfassung, Kundenanfragen und Auswertungen in einer Anwendung – statt in drei separaten Excel-Listen. Für KMU, die Zeit sparen und den Überblick behalten wollen.</w:t>
      </w:r>
    </w:p>
    <w:p>
      <w:pPr>
        <w:pStyle w:val="Heading1"/>
        <w:spacing w:after="160"/>
      </w:pPr>
      <w:r>
        <w:rPr>
          <w:rFonts w:ascii="IBM Plex Sans Condensed" w:cs="IBM Plex Sans Condensed" w:eastAsia="IBM Plex Sans Condensed" w:hAnsi="IBM Plex Sans Condensed"/>
          <w:b/>
          <w:bCs/>
          <w:color w:val="1D3557"/>
          <w:sz w:val="30"/>
          <w:szCs w:val="30"/>
        </w:rPr>
        <w:t xml:space="preserve">Die Highlights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3"/>
        <w:gridCol w:w="5183"/>
      </w:tblGrid>
      <w:tr>
        <w:tc>
          <w:tcPr>
            <w:tcW w:type="dxa" w:w="5183"/>
            <w:tcMar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30"/>
            </w:pPr>
            <w:r>
              <w:rPr>
                <w:rFonts w:ascii="IBM Plex Sans" w:cs="IBM Plex Sans" w:eastAsia="IBM Plex Sans" w:hAnsi="IBM Plex Sans"/>
                <w:b/>
                <w:bCs/>
                <w:color w:val="1D3557"/>
                <w:sz w:val="19"/>
                <w:szCs w:val="19"/>
              </w:rPr>
              <w:t xml:space="preserve">Zeiterfassung mit Timer — </w:t>
            </w:r>
            <w:r>
              <w:rPr>
                <w:rFonts w:ascii="IBM Plex Sans" w:cs="IBM Plex Sans" w:eastAsia="IBM Plex Sans" w:hAnsi="IBM Plex Sans"/>
                <w:color w:val="333333"/>
                <w:sz w:val="19"/>
                <w:szCs w:val="19"/>
              </w:rPr>
              <w:t xml:space="preserve">manuell oder live per Timer – läuft serverseitig weiter, auch bei geschlossenem Browser.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30"/>
            </w:pPr>
            <w:r>
              <w:rPr>
                <w:rFonts w:ascii="IBM Plex Sans" w:cs="IBM Plex Sans" w:eastAsia="IBM Plex Sans" w:hAnsi="IBM Plex Sans"/>
                <w:b/>
                <w:bCs/>
                <w:color w:val="1D3557"/>
                <w:sz w:val="19"/>
                <w:szCs w:val="19"/>
              </w:rPr>
              <w:t xml:space="preserve">Anfragen-Kanban — </w:t>
            </w:r>
            <w:r>
              <w:rPr>
                <w:rFonts w:ascii="IBM Plex Sans" w:cs="IBM Plex Sans" w:eastAsia="IBM Plex Sans" w:hAnsi="IBM Plex Sans"/>
                <w:color w:val="333333"/>
                <w:sz w:val="19"/>
                <w:szCs w:val="19"/>
              </w:rPr>
              <w:t xml:space="preserve">vom Erstkontakt bis zum erledigten Auftrag, per Drag &amp; Drop.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30"/>
            </w:pPr>
            <w:r>
              <w:rPr>
                <w:rFonts w:ascii="IBM Plex Sans" w:cs="IBM Plex Sans" w:eastAsia="IBM Plex Sans" w:hAnsi="IBM Plex Sans"/>
                <w:b/>
                <w:bCs/>
                <w:color w:val="1D3557"/>
                <w:sz w:val="19"/>
                <w:szCs w:val="19"/>
              </w:rPr>
              <w:t xml:space="preserve">Automatische Erinnerungen — </w:t>
            </w:r>
            <w:r>
              <w:rPr>
                <w:rFonts w:ascii="IBM Plex Sans" w:cs="IBM Plex Sans" w:eastAsia="IBM Plex Sans" w:hAnsi="IBM Plex Sans"/>
                <w:color w:val="333333"/>
                <w:sz w:val="19"/>
                <w:szCs w:val="19"/>
              </w:rPr>
              <w:t xml:space="preserve">fällige Wiedervorlagen melden sich per Badge und E-Mail – nichts geht vergessen.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30"/>
            </w:pPr>
            <w:r>
              <w:rPr>
                <w:rFonts w:ascii="IBM Plex Sans" w:cs="IBM Plex Sans" w:eastAsia="IBM Plex Sans" w:hAnsi="IBM Plex Sans"/>
                <w:b/>
                <w:bCs/>
                <w:color w:val="1D3557"/>
                <w:sz w:val="19"/>
                <w:szCs w:val="19"/>
              </w:rPr>
              <w:t xml:space="preserve">Farbiger Kalender — </w:t>
            </w:r>
            <w:r>
              <w:rPr>
                <w:rFonts w:ascii="IBM Plex Sans" w:cs="IBM Plex Sans" w:eastAsia="IBM Plex Sans" w:hAnsi="IBM Plex Sans"/>
                <w:color w:val="333333"/>
                <w:sz w:val="19"/>
                <w:szCs w:val="19"/>
              </w:rPr>
              <w:t xml:space="preserve">Zeit und Anfragen auf einen Blick, farbig nach zuständiger Person.</w:t>
            </w:r>
          </w:p>
        </w:tc>
        <w:tc>
          <w:tcPr>
            <w:tcW w:type="dxa" w:w="5183"/>
          </w:tcPr>
          <w:p>
            <w:pPr>
              <w:pStyle w:val="ListParagraph"/>
              <w:numPr>
                <w:ilvl w:val="0"/>
                <w:numId w:val="2"/>
              </w:numPr>
              <w:spacing w:after="130"/>
            </w:pPr>
            <w:r>
              <w:rPr>
                <w:rFonts w:ascii="IBM Plex Sans" w:cs="IBM Plex Sans" w:eastAsia="IBM Plex Sans" w:hAnsi="IBM Plex Sans"/>
                <w:b/>
                <w:bCs/>
                <w:color w:val="1D3557"/>
                <w:sz w:val="19"/>
                <w:szCs w:val="19"/>
              </w:rPr>
              <w:t xml:space="preserve">Durchgängige Schnellerfassung — </w:t>
            </w:r>
            <w:r>
              <w:rPr>
                <w:rFonts w:ascii="IBM Plex Sans" w:cs="IBM Plex Sans" w:eastAsia="IBM Plex Sans" w:hAnsi="IBM Plex Sans"/>
                <w:color w:val="333333"/>
                <w:sz w:val="19"/>
                <w:szCs w:val="19"/>
              </w:rPr>
              <w:t xml:space="preserve">neue Kunden und Projekte direkt aus jedem Formular anlegen, ohne die Seite zu verlassen.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30"/>
            </w:pPr>
            <w:r>
              <w:rPr>
                <w:rFonts w:ascii="IBM Plex Sans" w:cs="IBM Plex Sans" w:eastAsia="IBM Plex Sans" w:hAnsi="IBM Plex Sans"/>
                <w:b/>
                <w:bCs/>
                <w:color w:val="1D3557"/>
                <w:sz w:val="19"/>
                <w:szCs w:val="19"/>
              </w:rPr>
              <w:t xml:space="preserve">Export für die Buchhaltung — </w:t>
            </w:r>
            <w:r>
              <w:rPr>
                <w:rFonts w:ascii="IBM Plex Sans" w:cs="IBM Plex Sans" w:eastAsia="IBM Plex Sans" w:hAnsi="IBM Plex Sans"/>
                <w:color w:val="333333"/>
                <w:sz w:val="19"/>
                <w:szCs w:val="19"/>
              </w:rPr>
              <w:t xml:space="preserve">ein Klick genügt – im passenden Format, mit automatischer Belegnummer.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30"/>
            </w:pPr>
            <w:r>
              <w:rPr>
                <w:rFonts w:ascii="IBM Plex Sans" w:cs="IBM Plex Sans" w:eastAsia="IBM Plex Sans" w:hAnsi="IBM Plex Sans"/>
                <w:b/>
                <w:bCs/>
                <w:color w:val="1D3557"/>
                <w:sz w:val="19"/>
                <w:szCs w:val="19"/>
              </w:rPr>
              <w:t xml:space="preserve">Integrierte Benutzeranleitung — </w:t>
            </w:r>
            <w:r>
              <w:rPr>
                <w:rFonts w:ascii="IBM Plex Sans" w:cs="IBM Plex Sans" w:eastAsia="IBM Plex Sans" w:hAnsi="IBM Plex Sans"/>
                <w:color w:val="333333"/>
                <w:sz w:val="19"/>
                <w:szCs w:val="19"/>
              </w:rPr>
              <w:t xml:space="preserve">mit Stichwortsuche, direkt in der Anwendung – kontextsensitiv, druckbar.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30"/>
            </w:pPr>
            <w:r>
              <w:rPr>
                <w:rFonts w:ascii="IBM Plex Sans" w:cs="IBM Plex Sans" w:eastAsia="IBM Plex Sans" w:hAnsi="IBM Plex Sans"/>
                <w:b/>
                <w:bCs/>
                <w:color w:val="1D3557"/>
                <w:sz w:val="19"/>
                <w:szCs w:val="19"/>
              </w:rPr>
              <w:t xml:space="preserve">Mandantenfähig &amp; sicher — </w:t>
            </w:r>
            <w:r>
              <w:rPr>
                <w:rFonts w:ascii="IBM Plex Sans" w:cs="IBM Plex Sans" w:eastAsia="IBM Plex Sans" w:hAnsi="IBM Plex Sans"/>
                <w:color w:val="333333"/>
                <w:sz w:val="19"/>
                <w:szCs w:val="19"/>
              </w:rPr>
              <w:t xml:space="preserve">jede Organisation sieht ausschliesslich ihre eigenen Daten.</w:t>
            </w:r>
          </w:p>
        </w:tc>
      </w:tr>
    </w:tbl>
    <w:p>
      <w:pPr>
        <w:pBdr>
          <w:top w:val="single" w:color="1D3557" w:sz="4"/>
          <w:left w:val="single" w:color="1D3557" w:sz="4"/>
          <w:right w:val="single" w:color="1D3557" w:sz="4"/>
        </w:pBdr>
        <w:shd w:fill="1D3557" w:val="clear"/>
        <w:spacing w:after="0" w:before="300"/>
        <w:jc w:val="center"/>
      </w:pPr>
      <w:r>
        <w:rPr>
          <w:rFonts w:ascii="IBM Plex Sans Condensed" w:cs="IBM Plex Sans Condensed" w:eastAsia="IBM Plex Sans Condensed" w:hAnsi="IBM Plex Sans Condensed"/>
          <w:b/>
          <w:bCs/>
          <w:color w:val="FFFFFF"/>
          <w:sz w:val="26"/>
          <w:szCs w:val="26"/>
        </w:rPr>
        <w:t xml:space="preserve">  Ab CHF 11.– bis CHF 15.– pro Monat und Benutzer  </w:t>
      </w:r>
    </w:p>
    <w:p>
      <w:pPr>
        <w:pBdr>
          <w:bottom w:val="single" w:color="1D3557" w:sz="4"/>
          <w:left w:val="single" w:color="1D3557" w:sz="4"/>
          <w:right w:val="single" w:color="1D3557" w:sz="4"/>
        </w:pBdr>
        <w:shd w:fill="1D3557" w:val="clear"/>
        <w:spacing w:after="60" w:before="0"/>
        <w:jc w:val="center"/>
      </w:pPr>
      <w:r>
        <w:rPr>
          <w:rFonts w:ascii="IBM Plex Sans" w:cs="IBM Plex Sans" w:eastAsia="IBM Plex Sans" w:hAnsi="IBM Plex Sans"/>
          <w:color w:val="FFFFFF"/>
          <w:sz w:val="19"/>
          <w:szCs w:val="19"/>
        </w:rPr>
        <w:t xml:space="preserve">  gestaffelt nach Anzahl Lizenzen, exkl. MWST  ·  30 Tage kostenlos testen  </w:t>
      </w:r>
    </w:p>
    <w:p>
      <w:pPr>
        <w:pStyle w:val="Heading1"/>
        <w:spacing w:after="160" w:before="280"/>
      </w:pPr>
      <w:r>
        <w:rPr>
          <w:rFonts w:ascii="IBM Plex Sans Condensed" w:cs="IBM Plex Sans Condensed" w:eastAsia="IBM Plex Sans Condensed" w:hAnsi="IBM Plex Sans Condensed"/>
          <w:b/>
          <w:bCs/>
          <w:color w:val="1D3557"/>
          <w:sz w:val="30"/>
          <w:szCs w:val="30"/>
        </w:rPr>
        <w:t xml:space="preserve">So sieht es aus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3"/>
        <w:gridCol w:w="5183"/>
      </w:tblGrid>
      <w:tr>
        <w:tc>
          <w:tcPr>
            <w:tcW w:type="dxa" w:w="5183"/>
            <w:tcMar>
              <w:right w:type="dxa" w:w="15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85750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IBM Plex Sans" w:cs="IBM Plex Sans" w:eastAsia="IBM Plex Sans" w:hAnsi="IBM Plex Sans"/>
                <w:i/>
                <w:iCs/>
                <w:color w:val="457B9D"/>
                <w:sz w:val="17"/>
                <w:szCs w:val="17"/>
              </w:rPr>
              <w:t xml:space="preserve">Anfragen als Kanban-Board</w:t>
            </w:r>
          </w:p>
        </w:tc>
        <w:tc>
          <w:tcPr>
            <w:tcW w:type="dxa" w:w="5183"/>
            <w:tcMar>
              <w:left w:type="dxa" w:w="15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857500" cy="2133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IBM Plex Sans" w:cs="IBM Plex Sans" w:eastAsia="IBM Plex Sans" w:hAnsi="IBM Plex Sans"/>
                <w:i/>
                <w:iCs/>
                <w:color w:val="457B9D"/>
                <w:sz w:val="17"/>
                <w:szCs w:val="17"/>
              </w:rPr>
              <w:t xml:space="preserve">Farbiger Kalender</w:t>
            </w:r>
          </w:p>
        </w:tc>
      </w:tr>
    </w:tbl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1F5F9" w:val="clear"/>
        <w:spacing w:before="320"/>
      </w:pPr>
      <w:r>
        <w:rPr>
          <w:rFonts w:ascii="IBM Plex Sans Condensed" w:cs="IBM Plex Sans Condensed" w:eastAsia="IBM Plex Sans Condensed" w:hAnsi="IBM Plex Sans Condensed"/>
          <w:b/>
          <w:bCs/>
          <w:color w:val="1D3557"/>
          <w:sz w:val="26"/>
          <w:szCs w:val="26"/>
        </w:rPr>
        <w:t xml:space="preserve">  Interesse geweckt?</w:t>
      </w:r>
    </w:p>
    <w:p>
      <w:pPr>
        <w:pBdr>
          <w:bottom w:val="single" w:color="D1D5DB" w:sz="4"/>
          <w:left w:val="single" w:color="D1D5DB" w:sz="4"/>
          <w:right w:val="single" w:color="D1D5DB" w:sz="4"/>
        </w:pBdr>
        <w:shd w:fill="F1F5F9" w:val="clear"/>
        <w:spacing w:after="100" w:before="100"/>
        <w:ind w:left="160"/>
      </w:pPr>
      <w:r>
        <w:rPr>
          <w:rFonts w:ascii="IBM Plex Sans" w:cs="IBM Plex Sans" w:eastAsia="IBM Plex Sans" w:hAnsi="IBM Plex Sans"/>
          <w:color w:val="333333"/>
          <w:sz w:val="20"/>
          <w:szCs w:val="20"/>
        </w:rPr>
        <w:t xml:space="preserve">Wir zeigen Ihnen gerne unverbindlich, wie ArcoTime für Ihren Betrieb passt.</w:t>
      </w:r>
    </w:p>
    <w:p>
      <w:pPr>
        <w:pBdr>
          <w:left w:val="single" w:color="D1D5DB" w:sz="4"/>
          <w:right w:val="single" w:color="D1D5DB" w:sz="4"/>
        </w:pBdr>
        <w:shd w:fill="F1F5F9" w:val="clear"/>
        <w:spacing w:after="100"/>
        <w:ind w:left="160"/>
      </w:pPr>
      <w:r>
        <w:rPr>
          <w:rFonts w:ascii="IBM Plex Sans" w:cs="IBM Plex Sans" w:eastAsia="IBM Plex Sans" w:hAnsi="IBM Plex Sans"/>
          <w:b/>
          <w:bCs/>
          <w:color w:val="0E0C19"/>
          <w:sz w:val="19"/>
          <w:szCs w:val="19"/>
        </w:rPr>
        <w:t xml:space="preserve">[Name Ansprechpartner:in]</w:t>
      </w:r>
      <w:r>
        <w:rPr>
          <w:rFonts w:ascii="IBM Plex Sans" w:cs="IBM Plex Sans" w:eastAsia="IBM Plex Sans" w:hAnsi="IBM Plex Sans"/>
          <w:color w:val="333333"/>
          <w:sz w:val="19"/>
          <w:szCs w:val="19"/>
        </w:rPr>
        <w:t xml:space="preserve">   ·   [Telefonnummer]   ·   [E-Mail-Adresse]</w:t>
      </w:r>
    </w:p>
    <w:p>
      <w:pPr>
        <w:pBdr>
          <w:bottom w:val="single" w:color="D1D5DB" w:sz="4"/>
          <w:left w:val="single" w:color="D1D5DB" w:sz="4"/>
          <w:right w:val="single" w:color="D1D5DB" w:sz="4"/>
        </w:pBdr>
        <w:shd w:fill="F1F5F9" w:val="clear"/>
        <w:spacing w:after="240"/>
        <w:ind w:left="160"/>
      </w:pPr>
      <w:r>
        <w:rPr>
          <w:rFonts w:ascii="IBM Plex Sans" w:cs="IBM Plex Sans" w:eastAsia="IBM Plex Sans" w:hAnsi="IBM Plex Sans"/>
          <w:color w:val="333333"/>
          <w:sz w:val="19"/>
          <w:szCs w:val="19"/>
        </w:rPr>
        <w:t xml:space="preserve">Oder direkt online registrieren und 30 Tage kostenlos testen: </w:t>
      </w:r>
      <w:r>
        <w:rPr>
          <w:rFonts w:ascii="IBM Plex Sans" w:cs="IBM Plex Sans" w:eastAsia="IBM Plex Sans" w:hAnsi="IBM Plex Sans"/>
          <w:b/>
          <w:bCs/>
          <w:color w:val="457B9D"/>
          <w:sz w:val="19"/>
          <w:szCs w:val="19"/>
        </w:rPr>
        <w:t xml:space="preserve">arco-time.vercel.app/registrieren</w:t>
      </w:r>
    </w:p>
    <w:p>
      <w:pPr>
        <w:spacing w:before="260"/>
        <w:jc w:val="center"/>
      </w:pPr>
      <w:r>
        <w:drawing>
          <wp:inline distT="0" distB="0" distL="0" distR="0">
            <wp:extent cx="19050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680" w:right="720" w:bottom="6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5e9d71bb7afc3f7824f729e2851a0e71719796.png"/><Relationship Id="rId8" Type="http://schemas.openxmlformats.org/officeDocument/2006/relationships/image" Target="media/a6208b8bbb32134bce6e84f4e22800807b0e7f11.png"/><Relationship Id="rId9" Type="http://schemas.openxmlformats.org/officeDocument/2006/relationships/image" Target="media/26b8929e1eff3a07af67eb245c74c4c390ef1ae3.png"/><Relationship Id="rId10" Type="http://schemas.openxmlformats.org/officeDocument/2006/relationships/image" Target="media/e0509aa50f9908dfdc53b6db2cac4721d58210f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ArcoTime – Flyer</dc:title>
  <dc:creator>Arcos Group</dc:creator>
  <cp:lastModifiedBy>Un-named</cp:lastModifiedBy>
  <cp:revision>1</cp:revision>
  <dcterms:created xsi:type="dcterms:W3CDTF">2026-08-11T21:12:26.811Z</dcterms:created>
  <dcterms:modified xsi:type="dcterms:W3CDTF">2026-08-11T21:12:26.816Z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