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bleiben seine Positionen als eigenständige Zeiteinträge bestehen und weiterhin verrechenbar; es verschwindet nur das Dokument darüber.</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Export sowie Preise und Rabatte auf der Kundenseite – bleibt auch in der Datenbank admin-only.</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